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D4" w:rsidRDefault="002060D4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АНАЛІ</w:t>
      </w:r>
      <w:proofErr w:type="gramStart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РЕГУЛЯТОРНОГО ВПЛИВУ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</w:t>
      </w:r>
      <w:r w:rsid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кту </w:t>
      </w:r>
      <w:proofErr w:type="gramStart"/>
      <w:r w:rsid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ішення </w:t>
      </w:r>
      <w:r w:rsidR="003879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Новоселицької міської </w:t>
      </w: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ради</w:t>
      </w:r>
    </w:p>
    <w:p w:rsidR="00B5363B" w:rsidRDefault="00150383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</w:t>
      </w:r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встановлення ставок та </w:t>
      </w:r>
      <w:proofErr w:type="gramStart"/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proofErr w:type="gramEnd"/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ільг із сплати </w:t>
      </w:r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місцев</w:t>
      </w:r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их</w:t>
      </w:r>
      <w:r w:rsidR="00B536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0383" w:rsidRPr="00B5363B" w:rsidRDefault="00B5363B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податк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 збор</w:t>
      </w:r>
      <w:r w:rsidR="00B306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 на 2021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B5363B" w:rsidRDefault="00B5363B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 Визначення проблеми, яку передбачається розв’язати шляхом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регулювання</w:t>
      </w:r>
    </w:p>
    <w:p w:rsidR="00150383" w:rsidRPr="00387908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Згідно зі статтею 10 та пунктом 12.3 статті 12 Податкового кодексу</w:t>
      </w:r>
      <w:r w:rsidR="00A303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України законодавчо закріплено право органів 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ісцевого самоврядування</w:t>
      </w:r>
      <w:r w:rsidR="00A303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встановлювати місцеві податки та збори в межах своїх повноважень.</w:t>
      </w:r>
    </w:p>
    <w:p w:rsidR="00150383" w:rsidRPr="00242AB5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Податковим кодексом України визначено, що органи місцевого</w:t>
      </w:r>
      <w:r w:rsidR="00A303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самоврядування приймають рішення про встановлення місцевих податків та</w:t>
      </w:r>
      <w:r w:rsidR="00A303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зборів та офіційно оприлюднюють до 15 липня року, що передує бюджетному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періоду, в якому планується їх застосування.</w:t>
      </w:r>
    </w:p>
    <w:p w:rsidR="00150383" w:rsidRPr="00242AB5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пункту 12.3.5 статті 12 Податкового кодексу України, якщо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Новоселицька міська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рада не прийняла рішення про встановлення відповідних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місцевих податків і зборів, що є обов'язковими згідно з нормами Податкового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кодексу України, такі податки до прийняття рішення справляються виходячи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 Податкового кодексу із застосуванням їх мінімальних ставок, а плата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землю справляється із застосуванням ставок, які діяли до 31 грудня року, 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передує бюджетному періоду, в якому планується застосування плати за землю.</w:t>
      </w:r>
    </w:p>
    <w:p w:rsidR="00150383" w:rsidRPr="005D17A6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Місцеві податки та збори зараховуються в повному обсязі до місцевого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бюджету та, відповідно до діючого законодавства, є джерелом формування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загального фонду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бюджету, забезпечують збалансованість дохідної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частини бюджету та задоволення</w:t>
      </w:r>
      <w:r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нагальних потреб громади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Новоселиця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50383"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 від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 надходження спрямовуються на забезпечення діяльності функціонування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бюджетних установ, благоустрій територій територіальної громади,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 соціал</w:t>
      </w:r>
      <w:r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ьно-економічного розвитку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Новоселицької об’єднаної </w:t>
      </w:r>
      <w:r w:rsidR="00150383" w:rsidRP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громади.</w:t>
      </w:r>
    </w:p>
    <w:p w:rsidR="005D17A6" w:rsidRPr="005D17A6" w:rsidRDefault="00387908" w:rsidP="005D1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Виходячи з вищевикладеного, з метою безумовного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Податкового кодексу України, недопущення суперечливих ситуацій,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дохідної частини місцевого бюджету, виконання </w:t>
      </w:r>
      <w:r w:rsidR="005D17A6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программ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соціально-економічного розвитку територіальної громади,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Новоселицька міська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має прийняти рішення 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«Про встановлення ставок та пільг із сплати  місцевих 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306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податків і зборів на 2021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рік»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150383" w:rsidRPr="00387908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У разі неприйняття 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ішення про встановлення місцевих податків і зборів</w:t>
      </w:r>
      <w:r w:rsidR="00A303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061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 рік, податки і збори будуть справлятимуться за мінімальними ставкам,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а плата за землю - із застосуванням ставок, які діяли до 31 грудня року, що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передує бюджетному періоду, в якому планується застосування плати за землю,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що спричинить втрати дохідної частини бюджету. Як наслідок будуть 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інансовані соціальні програми громади, а саме:</w:t>
      </w:r>
    </w:p>
    <w:p w:rsidR="00150383" w:rsidRPr="00242AB5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утримання закладів дошкільної освіти</w:t>
      </w:r>
      <w:r w:rsidR="00242AB5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шкіл</w:t>
      </w:r>
      <w:r w:rsid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2AB5" w:rsidRPr="002D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(енергоносії, харчування, </w:t>
      </w:r>
      <w:r w:rsidR="00150383" w:rsidRPr="002D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</w:t>
      </w:r>
      <w:r w:rsid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мунальні послуги, тощо) (24003,2 </w:t>
      </w:r>
      <w:r w:rsidR="00150383" w:rsidRPr="002D281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 грн..);</w:t>
      </w:r>
    </w:p>
    <w:p w:rsidR="00150383" w:rsidRDefault="00387908" w:rsidP="00B30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1B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1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капітальний ремонт даху в Новоселицькому РБК (1400,0 тис</w:t>
      </w:r>
      <w:proofErr w:type="gramStart"/>
      <w:r w:rsid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.г</w:t>
      </w:r>
      <w:proofErr w:type="gramEnd"/>
      <w:r w:rsidR="00B3061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рн.);</w:t>
      </w:r>
    </w:p>
    <w:p w:rsidR="00B30612" w:rsidRDefault="00B30612" w:rsidP="00B30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- поточний ремонт доріг (2000,0 тис.грн.)</w:t>
      </w:r>
    </w:p>
    <w:p w:rsidR="00B30612" w:rsidRPr="00B30612" w:rsidRDefault="00B30612" w:rsidP="00B30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- будівництво залу для фізкультурно-оздоровчих занять в с.Рокитне (2000,0 тис.грн.)</w:t>
      </w:r>
    </w:p>
    <w:p w:rsidR="00150383" w:rsidRPr="00B30612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- та інші заходи.</w:t>
      </w:r>
    </w:p>
    <w:p w:rsidR="00B30612" w:rsidRDefault="00B30612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150383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Аналіз втрат до </w:t>
      </w:r>
      <w:proofErr w:type="gramStart"/>
      <w:r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ісцевого бюджету</w:t>
      </w:r>
    </w:p>
    <w:p w:rsidR="00092F3C" w:rsidRPr="00092F3C" w:rsidRDefault="00092F3C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387908" w:rsidRPr="00387908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53"/>
        <w:gridCol w:w="1863"/>
        <w:gridCol w:w="1861"/>
        <w:gridCol w:w="1646"/>
        <w:gridCol w:w="1039"/>
        <w:gridCol w:w="1646"/>
        <w:gridCol w:w="1671"/>
      </w:tblGrid>
      <w:tr w:rsidR="00043BE1" w:rsidTr="00B27DE0">
        <w:trPr>
          <w:trHeight w:val="669"/>
        </w:trPr>
        <w:tc>
          <w:tcPr>
            <w:tcW w:w="553" w:type="dxa"/>
            <w:vMerge w:val="restart"/>
          </w:tcPr>
          <w:p w:rsidR="00043BE1" w:rsidRDefault="00043BE1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043BE1" w:rsidRDefault="00043BE1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63" w:type="dxa"/>
            <w:vMerge w:val="restart"/>
          </w:tcPr>
          <w:p w:rsidR="00043BE1" w:rsidRDefault="00043BE1" w:rsidP="00043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3507" w:type="dxa"/>
            <w:gridSpan w:val="2"/>
            <w:tcBorders>
              <w:bottom w:val="single" w:sz="4" w:space="0" w:color="auto"/>
            </w:tcBorders>
          </w:tcPr>
          <w:p w:rsidR="00043BE1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разі прийняття рішення про місцеві податки та збори на 2020 рік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043BE1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разі не прийняття рішення про місцеві податки та збори на 2020 рік</w:t>
            </w:r>
          </w:p>
        </w:tc>
        <w:tc>
          <w:tcPr>
            <w:tcW w:w="1671" w:type="dxa"/>
            <w:vMerge w:val="restart"/>
          </w:tcPr>
          <w:p w:rsidR="00043BE1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Відхилення, тис.грн.</w:t>
            </w:r>
          </w:p>
          <w:p w:rsidR="00043BE1" w:rsidRDefault="00043BE1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213F7" w:rsidTr="00B27DE0">
        <w:trPr>
          <w:trHeight w:val="617"/>
        </w:trPr>
        <w:tc>
          <w:tcPr>
            <w:tcW w:w="553" w:type="dxa"/>
            <w:vMerge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63" w:type="dxa"/>
            <w:vMerge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Ставка 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Очікуваний обсяг надходжень тис.грн.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1213F7" w:rsidRDefault="001213F7" w:rsidP="00385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Ставка 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1213F7" w:rsidRDefault="001213F7" w:rsidP="00385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Очікуваний обсяг надходжень тис.грн.</w:t>
            </w:r>
          </w:p>
        </w:tc>
        <w:tc>
          <w:tcPr>
            <w:tcW w:w="1671" w:type="dxa"/>
            <w:vMerge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213F7" w:rsidTr="00B27DE0">
        <w:tc>
          <w:tcPr>
            <w:tcW w:w="553" w:type="dxa"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1863" w:type="dxa"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Податок на нерухоме майно відмінне від земельної ділянки</w:t>
            </w:r>
          </w:p>
        </w:tc>
        <w:tc>
          <w:tcPr>
            <w:tcW w:w="1861" w:type="dxa"/>
          </w:tcPr>
          <w:p w:rsidR="001213F7" w:rsidRDefault="00092F3C" w:rsidP="00B96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(від 0,015</w:t>
            </w:r>
            <w:r w:rsidR="001213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% до 1% залежно від виду нерухомого майна</w:t>
            </w:r>
          </w:p>
        </w:tc>
        <w:tc>
          <w:tcPr>
            <w:tcW w:w="1646" w:type="dxa"/>
          </w:tcPr>
          <w:p w:rsidR="001213F7" w:rsidRDefault="001D4984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2084</w:t>
            </w:r>
            <w:r w:rsidR="00B306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,9</w:t>
            </w:r>
          </w:p>
        </w:tc>
        <w:tc>
          <w:tcPr>
            <w:tcW w:w="1039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46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71" w:type="dxa"/>
          </w:tcPr>
          <w:p w:rsidR="001213F7" w:rsidRDefault="00B3061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2084,9</w:t>
            </w:r>
          </w:p>
        </w:tc>
      </w:tr>
      <w:tr w:rsidR="001213F7" w:rsidTr="00B27DE0">
        <w:tc>
          <w:tcPr>
            <w:tcW w:w="553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1863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Плата за землю (ставка земельного податку )</w:t>
            </w:r>
          </w:p>
        </w:tc>
        <w:tc>
          <w:tcPr>
            <w:tcW w:w="1861" w:type="dxa"/>
          </w:tcPr>
          <w:p w:rsidR="001213F7" w:rsidRDefault="00B3061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1% до 12</w:t>
            </w:r>
            <w:r w:rsidR="00B9699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646" w:type="dxa"/>
          </w:tcPr>
          <w:p w:rsidR="001213F7" w:rsidRDefault="00B3061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8479,5</w:t>
            </w:r>
          </w:p>
        </w:tc>
        <w:tc>
          <w:tcPr>
            <w:tcW w:w="1039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0,2% до 9%</w:t>
            </w:r>
          </w:p>
        </w:tc>
        <w:tc>
          <w:tcPr>
            <w:tcW w:w="1646" w:type="dxa"/>
          </w:tcPr>
          <w:p w:rsidR="001213F7" w:rsidRDefault="00B3061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847,9</w:t>
            </w:r>
          </w:p>
        </w:tc>
        <w:tc>
          <w:tcPr>
            <w:tcW w:w="1671" w:type="dxa"/>
          </w:tcPr>
          <w:p w:rsidR="001213F7" w:rsidRDefault="00B3061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7631,6</w:t>
            </w:r>
          </w:p>
        </w:tc>
      </w:tr>
      <w:tr w:rsidR="001213F7" w:rsidTr="00B27DE0">
        <w:tc>
          <w:tcPr>
            <w:tcW w:w="553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1863" w:type="dxa"/>
          </w:tcPr>
          <w:p w:rsidR="001213F7" w:rsidRDefault="00B9699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Єдиний податок </w:t>
            </w:r>
          </w:p>
        </w:tc>
        <w:tc>
          <w:tcPr>
            <w:tcW w:w="1861" w:type="dxa"/>
          </w:tcPr>
          <w:p w:rsidR="001213F7" w:rsidRPr="00B96990" w:rsidRDefault="00B96990" w:rsidP="00B27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092F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гр. 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% </w:t>
            </w:r>
            <w:r w:rsidRPr="00B969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092F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</w:t>
            </w:r>
            <w:r w:rsidR="002A1B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% </w:t>
            </w:r>
          </w:p>
        </w:tc>
        <w:tc>
          <w:tcPr>
            <w:tcW w:w="1646" w:type="dxa"/>
          </w:tcPr>
          <w:p w:rsidR="001213F7" w:rsidRDefault="00B27DE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11019,3</w:t>
            </w:r>
          </w:p>
        </w:tc>
        <w:tc>
          <w:tcPr>
            <w:tcW w:w="1039" w:type="dxa"/>
          </w:tcPr>
          <w:p w:rsidR="001213F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46" w:type="dxa"/>
          </w:tcPr>
          <w:p w:rsidR="001213F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71" w:type="dxa"/>
          </w:tcPr>
          <w:p w:rsidR="001213F7" w:rsidRDefault="00B27DE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11019,3</w:t>
            </w:r>
          </w:p>
        </w:tc>
      </w:tr>
      <w:tr w:rsidR="00242AB5" w:rsidTr="00B27DE0">
        <w:tc>
          <w:tcPr>
            <w:tcW w:w="553" w:type="dxa"/>
          </w:tcPr>
          <w:p w:rsidR="00242AB5" w:rsidRDefault="00242AB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1863" w:type="dxa"/>
          </w:tcPr>
          <w:p w:rsidR="00242AB5" w:rsidRDefault="00242AB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Туистичний збір</w:t>
            </w:r>
          </w:p>
        </w:tc>
        <w:tc>
          <w:tcPr>
            <w:tcW w:w="1861" w:type="dxa"/>
          </w:tcPr>
          <w:p w:rsidR="00242AB5" w:rsidRPr="002D281B" w:rsidRDefault="00B27DE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0,25% для внутрішнього туризму та 0,75</w:t>
            </w:r>
            <w:r w:rsidR="002D28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% для в</w:t>
            </w:r>
            <w:r w:rsidR="002D281B" w:rsidRPr="002D2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`</w:t>
            </w:r>
            <w:r w:rsidR="002D281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їзного туризму </w:t>
            </w:r>
          </w:p>
        </w:tc>
        <w:tc>
          <w:tcPr>
            <w:tcW w:w="1646" w:type="dxa"/>
          </w:tcPr>
          <w:p w:rsidR="00242AB5" w:rsidRDefault="00B27DE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21,4</w:t>
            </w:r>
          </w:p>
        </w:tc>
        <w:tc>
          <w:tcPr>
            <w:tcW w:w="1039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46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71" w:type="dxa"/>
          </w:tcPr>
          <w:p w:rsidR="00242AB5" w:rsidRDefault="00B27DE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21,4</w:t>
            </w:r>
          </w:p>
        </w:tc>
      </w:tr>
      <w:tr w:rsidR="00242AB5" w:rsidTr="00B27DE0">
        <w:tc>
          <w:tcPr>
            <w:tcW w:w="553" w:type="dxa"/>
          </w:tcPr>
          <w:p w:rsidR="00242AB5" w:rsidRDefault="00242AB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1863" w:type="dxa"/>
          </w:tcPr>
          <w:p w:rsidR="00242AB5" w:rsidRDefault="00242AB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Збір за</w:t>
            </w:r>
            <w:r w:rsidR="002A4A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місця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паркування транспортних засобів </w:t>
            </w:r>
          </w:p>
        </w:tc>
        <w:tc>
          <w:tcPr>
            <w:tcW w:w="1861" w:type="dxa"/>
          </w:tcPr>
          <w:p w:rsidR="00242AB5" w:rsidRPr="002D281B" w:rsidRDefault="002D281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0,03 %</w:t>
            </w:r>
          </w:p>
        </w:tc>
        <w:tc>
          <w:tcPr>
            <w:tcW w:w="1646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039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46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71" w:type="dxa"/>
          </w:tcPr>
          <w:p w:rsidR="00242AB5" w:rsidRDefault="002A1B88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1213F7" w:rsidTr="00B27DE0">
        <w:tc>
          <w:tcPr>
            <w:tcW w:w="553" w:type="dxa"/>
          </w:tcPr>
          <w:p w:rsidR="001213F7" w:rsidRDefault="001213F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63" w:type="dxa"/>
          </w:tcPr>
          <w:p w:rsidR="001213F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Разом (втрати до бюджету)</w:t>
            </w:r>
          </w:p>
        </w:tc>
        <w:tc>
          <w:tcPr>
            <w:tcW w:w="1861" w:type="dxa"/>
          </w:tcPr>
          <w:p w:rsidR="001213F7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646" w:type="dxa"/>
          </w:tcPr>
          <w:p w:rsidR="001213F7" w:rsidRDefault="006D0C57" w:rsidP="00B27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Х</w:t>
            </w:r>
          </w:p>
        </w:tc>
        <w:tc>
          <w:tcPr>
            <w:tcW w:w="1039" w:type="dxa"/>
          </w:tcPr>
          <w:p w:rsidR="001213F7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646" w:type="dxa"/>
          </w:tcPr>
          <w:p w:rsidR="001213F7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671" w:type="dxa"/>
          </w:tcPr>
          <w:p w:rsidR="001213F7" w:rsidRDefault="00B27DE0" w:rsidP="002A1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20757,2</w:t>
            </w:r>
          </w:p>
        </w:tc>
      </w:tr>
    </w:tbl>
    <w:p w:rsidR="00387908" w:rsidRDefault="00387908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0383" w:rsidRPr="00894287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0383" w:rsidRPr="005D17A6" w:rsidRDefault="00894287" w:rsidP="0089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5D17A6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разі прийняття рішення 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«Про встановлення ставок та пільг із сплати  місцевих 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152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податків і зборів на 2021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рік»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очікується, що в бюджет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Новоселицької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</w:t>
      </w:r>
      <w:r w:rsidR="002A1B88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надійдуть кошти в сумі </w:t>
      </w:r>
      <w:r w:rsidR="006D0C57">
        <w:rPr>
          <w:rFonts w:ascii="Times New Roman" w:hAnsi="Times New Roman" w:cs="Times New Roman"/>
          <w:color w:val="000000"/>
          <w:sz w:val="28"/>
          <w:szCs w:val="28"/>
          <w:lang w:val="uk-UA"/>
        </w:rPr>
        <w:t>20757,2</w:t>
      </w:r>
      <w:r w:rsid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 грн.</w:t>
      </w:r>
    </w:p>
    <w:p w:rsidR="00150383" w:rsidRPr="00092F3C" w:rsidRDefault="00894287" w:rsidP="0089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50383" w:rsidRPr="00092F3C">
        <w:rPr>
          <w:rFonts w:ascii="Times New Roman" w:hAnsi="Times New Roman" w:cs="Times New Roman"/>
          <w:sz w:val="28"/>
          <w:szCs w:val="28"/>
        </w:rPr>
        <w:t xml:space="preserve">Разом з тим, при прийнятті </w:t>
      </w:r>
      <w:proofErr w:type="gramStart"/>
      <w:r w:rsidR="00150383" w:rsidRPr="00092F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50383" w:rsidRPr="00092F3C">
        <w:rPr>
          <w:rFonts w:ascii="Times New Roman" w:hAnsi="Times New Roman" w:cs="Times New Roman"/>
          <w:sz w:val="28"/>
          <w:szCs w:val="28"/>
        </w:rPr>
        <w:t>ішення необхідно забезпечити баланс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383" w:rsidRPr="00092F3C">
        <w:rPr>
          <w:rFonts w:ascii="Times New Roman" w:hAnsi="Times New Roman" w:cs="Times New Roman"/>
          <w:sz w:val="28"/>
          <w:szCs w:val="28"/>
        </w:rPr>
        <w:t>інтересів суб’єктів господарювання, громадян та органу місцевого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383" w:rsidRPr="00092F3C">
        <w:rPr>
          <w:rFonts w:ascii="Times New Roman" w:hAnsi="Times New Roman" w:cs="Times New Roman"/>
          <w:sz w:val="28"/>
          <w:szCs w:val="28"/>
        </w:rPr>
        <w:t>самоврядування.</w:t>
      </w:r>
    </w:p>
    <w:p w:rsidR="00092F3C" w:rsidRPr="00092F3C" w:rsidRDefault="00894287" w:rsidP="0089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92F3C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>Новоселицька міська рада</w:t>
      </w:r>
      <w:proofErr w:type="gramStart"/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383" w:rsidRPr="00092F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0383" w:rsidRPr="00092F3C">
        <w:rPr>
          <w:rFonts w:ascii="Times New Roman" w:hAnsi="Times New Roman" w:cs="Times New Roman"/>
          <w:sz w:val="28"/>
          <w:szCs w:val="28"/>
        </w:rPr>
        <w:t xml:space="preserve"> враховуючи пропозиції підприємців, не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383" w:rsidRPr="00092F3C">
        <w:rPr>
          <w:rFonts w:ascii="Times New Roman" w:hAnsi="Times New Roman" w:cs="Times New Roman"/>
          <w:sz w:val="28"/>
          <w:szCs w:val="28"/>
        </w:rPr>
        <w:t>підвищувала ставки податків. Розміри ставок місцевих податків і зборів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383" w:rsidRPr="00092F3C">
        <w:rPr>
          <w:rFonts w:ascii="Times New Roman" w:hAnsi="Times New Roman" w:cs="Times New Roman"/>
          <w:sz w:val="28"/>
          <w:szCs w:val="28"/>
        </w:rPr>
        <w:t>залишаються на рівні минулорічних.</w:t>
      </w:r>
      <w:r w:rsidRPr="00092F3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150383" w:rsidRPr="00242AB5" w:rsidRDefault="005D17A6" w:rsidP="0089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 w:rsidR="00894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Важливість проблеми при затвердженні місцевих податків і зборів</w:t>
      </w:r>
      <w:r w:rsidR="00894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полягає в необхідності наповнення місцевого бюджету та спрямування</w:t>
      </w:r>
      <w:r w:rsidR="00894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отриманих коштів від сплати податків на вирішення соціально-економічних</w:t>
      </w:r>
      <w:r w:rsidR="00894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 громади, благоустрій населених пунктів, покращення інфраструктури.</w:t>
      </w:r>
    </w:p>
    <w:p w:rsidR="00150383" w:rsidRDefault="00894287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раховуючи, вищевикладене,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Новоселицька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ОТГ розробляється проект рішення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«Про встановлення ставок та пільг із сплати  місцевих 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D0C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податків і зборів на 2021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рік»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публікується в засобах масової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інформації</w:t>
      </w:r>
      <w:r w:rsidR="00150383" w:rsidRPr="005D17A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94287" w:rsidRDefault="00894287" w:rsidP="00894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4287" w:rsidRPr="00894287" w:rsidRDefault="00894287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Основні групи, </w:t>
      </w:r>
      <w:proofErr w:type="gramStart"/>
      <w:r w:rsidRPr="0038790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 які проблема справляє вплив:</w:t>
      </w:r>
    </w:p>
    <w:tbl>
      <w:tblPr>
        <w:tblStyle w:val="a3"/>
        <w:tblW w:w="0" w:type="auto"/>
        <w:tblLook w:val="04A0"/>
      </w:tblPr>
      <w:tblGrid>
        <w:gridCol w:w="3426"/>
        <w:gridCol w:w="3426"/>
        <w:gridCol w:w="3427"/>
      </w:tblGrid>
      <w:tr w:rsidR="00894287" w:rsidTr="00894287">
        <w:tc>
          <w:tcPr>
            <w:tcW w:w="3426" w:type="dxa"/>
          </w:tcPr>
          <w:p w:rsidR="00894287" w:rsidRPr="00894287" w:rsidRDefault="00894287" w:rsidP="00894287">
            <w:pPr>
              <w:jc w:val="center"/>
              <w:rPr>
                <w:lang w:val="uk-UA"/>
              </w:rPr>
            </w:pPr>
            <w:r w:rsidRPr="007B63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Групи</w:t>
            </w:r>
          </w:p>
        </w:tc>
        <w:tc>
          <w:tcPr>
            <w:tcW w:w="3426" w:type="dxa"/>
          </w:tcPr>
          <w:p w:rsidR="00894287" w:rsidRPr="00894287" w:rsidRDefault="00894287" w:rsidP="00894287">
            <w:pPr>
              <w:jc w:val="center"/>
              <w:rPr>
                <w:lang w:val="uk-UA"/>
              </w:rPr>
            </w:pPr>
            <w:r w:rsidRPr="007B63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3427" w:type="dxa"/>
          </w:tcPr>
          <w:p w:rsidR="00894287" w:rsidRDefault="00894287" w:rsidP="00894287">
            <w:pPr>
              <w:jc w:val="center"/>
            </w:pPr>
            <w:r w:rsidRPr="007B63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Ні</w:t>
            </w:r>
          </w:p>
        </w:tc>
      </w:tr>
      <w:tr w:rsidR="00894287" w:rsidTr="00894287">
        <w:tc>
          <w:tcPr>
            <w:tcW w:w="3426" w:type="dxa"/>
          </w:tcPr>
          <w:p w:rsidR="00894287" w:rsidRPr="00894287" w:rsidRDefault="00894287" w:rsidP="00894287">
            <w:pPr>
              <w:jc w:val="center"/>
              <w:rPr>
                <w:lang w:val="uk-UA"/>
              </w:rPr>
            </w:pPr>
            <w:r w:rsidRPr="0060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3426" w:type="dxa"/>
          </w:tcPr>
          <w:p w:rsidR="00894287" w:rsidRDefault="00894287" w:rsidP="00894287">
            <w:pPr>
              <w:jc w:val="center"/>
            </w:pPr>
            <w:r w:rsidRPr="0060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3427" w:type="dxa"/>
          </w:tcPr>
          <w:p w:rsidR="0089428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287" w:rsidTr="00894287">
        <w:tc>
          <w:tcPr>
            <w:tcW w:w="3426" w:type="dxa"/>
          </w:tcPr>
          <w:p w:rsidR="00894287" w:rsidRPr="00894287" w:rsidRDefault="00894287" w:rsidP="00894287">
            <w:pPr>
              <w:jc w:val="center"/>
              <w:rPr>
                <w:lang w:val="uk-UA"/>
              </w:rPr>
            </w:pPr>
            <w:r w:rsidRPr="006F40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3426" w:type="dxa"/>
          </w:tcPr>
          <w:p w:rsidR="00894287" w:rsidRDefault="00894287" w:rsidP="00894287">
            <w:pPr>
              <w:jc w:val="center"/>
            </w:pPr>
            <w:r w:rsidRPr="006F40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3427" w:type="dxa"/>
          </w:tcPr>
          <w:p w:rsidR="0089428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287" w:rsidTr="00894287">
        <w:tc>
          <w:tcPr>
            <w:tcW w:w="3426" w:type="dxa"/>
          </w:tcPr>
          <w:p w:rsidR="00894287" w:rsidRPr="00894287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76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3426" w:type="dxa"/>
          </w:tcPr>
          <w:p w:rsidR="00894287" w:rsidRPr="00D76953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3427" w:type="dxa"/>
          </w:tcPr>
          <w:p w:rsidR="0089428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287" w:rsidTr="00894287">
        <w:tc>
          <w:tcPr>
            <w:tcW w:w="3426" w:type="dxa"/>
          </w:tcPr>
          <w:p w:rsidR="00894287" w:rsidRPr="00D76953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тому числі суб’єкти малого </w:t>
            </w:r>
            <w:proofErr w:type="gramStart"/>
            <w:r w:rsidRPr="00D76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76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ідприємництва* так</w:t>
            </w:r>
          </w:p>
        </w:tc>
        <w:tc>
          <w:tcPr>
            <w:tcW w:w="3426" w:type="dxa"/>
          </w:tcPr>
          <w:p w:rsidR="00894287" w:rsidRPr="00D76953" w:rsidRDefault="00894287" w:rsidP="0089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3427" w:type="dxa"/>
          </w:tcPr>
          <w:p w:rsidR="00894287" w:rsidRDefault="00894287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4287" w:rsidRDefault="00894287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150383" w:rsidRPr="00387908" w:rsidRDefault="00894287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  </w:t>
      </w:r>
      <w:r w:rsidR="00150383"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Обґрунтування неможливості вирішення проблеми за допомогою ринкових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механізмів:</w:t>
      </w:r>
    </w:p>
    <w:p w:rsidR="00150383" w:rsidRPr="00387908" w:rsidRDefault="00894287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Застосування ринкових механізмів для вирішення вказаної проблеми не 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можливим, оскільки здійснення вищезазначених заходів є засобом державного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регулювання та відповідно до Податкового кодексу України є компетенцією</w:t>
      </w:r>
      <w:r w:rsidR="002348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Новоселицької міської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 ради.</w:t>
      </w:r>
    </w:p>
    <w:p w:rsidR="00150383" w:rsidRPr="00387908" w:rsidRDefault="002348C5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  </w:t>
      </w:r>
      <w:r w:rsidR="00150383"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Обґрунтування неможливості вирішення проблеми за допомогою діючих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регуляторних акті</w:t>
      </w:r>
      <w:proofErr w:type="gramStart"/>
      <w:r w:rsidR="00150383"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="00150383" w:rsidRPr="003879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150383" w:rsidRDefault="002348C5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150383"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Зазначена проблема не може бути вирішена за допомогою діючих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регуляторних актів, оскільки ставки податків, затверджені рішенням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236">
        <w:rPr>
          <w:rFonts w:ascii="Times New Roman" w:hAnsi="Times New Roman" w:cs="Times New Roman"/>
          <w:color w:val="000000"/>
          <w:sz w:val="28"/>
          <w:szCs w:val="28"/>
          <w:lang w:val="en-US"/>
        </w:rPr>
        <w:t>XXIV</w:t>
      </w:r>
      <w:r w:rsidR="001C0077"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Новоселицької міської </w:t>
      </w:r>
      <w:r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</w:t>
      </w:r>
      <w:r w:rsidR="006E24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25.06.2019р. № 24/4 «Про встановлення ставок та пільг із</w:t>
      </w:r>
      <w:r w:rsid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сплати </w:t>
      </w:r>
      <w:r w:rsidR="006E24A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місцевих податків і зборів на 2020</w:t>
      </w:r>
      <w:r w:rsid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</w:t>
      </w:r>
      <w:r w:rsidR="00150383"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застосовуються</w:t>
      </w:r>
      <w:r w:rsidR="005158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24A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лише на 2020</w:t>
      </w:r>
      <w:r w:rsidR="00150383" w:rsidRPr="001C00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рік.</w:t>
      </w:r>
    </w:p>
    <w:p w:rsidR="0051584B" w:rsidRPr="001C0077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0383" w:rsidRPr="001C0077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="00150383" w:rsidRPr="001C007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 Цілі державного регулювання</w:t>
      </w:r>
    </w:p>
    <w:p w:rsidR="00150383" w:rsidRPr="001C0077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</w:t>
      </w:r>
      <w:r w:rsidR="00150383" w:rsidRPr="001C007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Цілі державного регулювання, безпосередньо пов'язані з розв'язанням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07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проб</w:t>
      </w: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леми:</w:t>
      </w:r>
    </w:p>
    <w:p w:rsidR="00150383" w:rsidRPr="00387908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Проект регуляторного акта спрямований на розв’язання проблеми,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визначеної в попередньому розділі.</w:t>
      </w:r>
    </w:p>
    <w:p w:rsidR="00150383" w:rsidRPr="00242AB5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Основними цілями регулювання є:</w:t>
      </w:r>
    </w:p>
    <w:p w:rsidR="00150383" w:rsidRPr="00242AB5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здійснити планування та прогнозування надходжень від місцевих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податків та зборів при формуванні бюджету;</w:t>
      </w:r>
    </w:p>
    <w:p w:rsidR="00150383" w:rsidRPr="00242AB5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встановити доцільні і обґрунтовані розміри ставок місцевих податків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зборів з урахуванням рівня платоспроможності громадян та суб’єктів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242AB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господарювання та відповідно до потреб місцевого бюджету;</w:t>
      </w:r>
    </w:p>
    <w:p w:rsidR="00150383" w:rsidRPr="00387908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- встановити 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ільги щодо сплати місцевих податків і зборів;</w:t>
      </w:r>
    </w:p>
    <w:p w:rsidR="00150383" w:rsidRPr="00387908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- забезпечити своєчасне надходження до міського бюджету місцевих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податкі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 та зборів;</w:t>
      </w:r>
    </w:p>
    <w:p w:rsidR="00150383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 xml:space="preserve">- забезпечити відкритість процедури, прозорість дій органу </w:t>
      </w:r>
      <w:proofErr w:type="gramStart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ісцевого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0383" w:rsidRPr="00387908">
        <w:rPr>
          <w:rFonts w:ascii="Times New Roman" w:hAnsi="Times New Roman" w:cs="Times New Roman"/>
          <w:color w:val="000000"/>
          <w:sz w:val="28"/>
          <w:szCs w:val="28"/>
        </w:rPr>
        <w:t>самоврядування.</w:t>
      </w:r>
    </w:p>
    <w:p w:rsidR="0051584B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E24A0" w:rsidRDefault="006E24A0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E24A0" w:rsidRPr="0051584B" w:rsidRDefault="006E24A0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0383" w:rsidRPr="00387908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ІІІ. Визначення та оцінка способів досягнення визначених цілей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Визначення альтернативних способі</w:t>
      </w:r>
      <w:proofErr w:type="gramStart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tbl>
      <w:tblPr>
        <w:tblStyle w:val="a3"/>
        <w:tblW w:w="0" w:type="auto"/>
        <w:tblLook w:val="04A0"/>
      </w:tblPr>
      <w:tblGrid>
        <w:gridCol w:w="5139"/>
        <w:gridCol w:w="5140"/>
      </w:tblGrid>
      <w:tr w:rsidR="0051584B" w:rsidTr="0051584B">
        <w:tc>
          <w:tcPr>
            <w:tcW w:w="5139" w:type="dxa"/>
          </w:tcPr>
          <w:p w:rsidR="0051584B" w:rsidRDefault="0051584B" w:rsidP="00515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альтернативи </w:t>
            </w:r>
          </w:p>
        </w:tc>
        <w:tc>
          <w:tcPr>
            <w:tcW w:w="5140" w:type="dxa"/>
          </w:tcPr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 альтернативи</w:t>
            </w:r>
          </w:p>
        </w:tc>
      </w:tr>
      <w:tr w:rsidR="0051584B" w:rsidTr="0051584B">
        <w:tc>
          <w:tcPr>
            <w:tcW w:w="5139" w:type="dxa"/>
          </w:tcPr>
          <w:p w:rsidR="0051584B" w:rsidRPr="00387908" w:rsidRDefault="0051584B" w:rsidP="00515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Альтернатива 1.</w:t>
            </w:r>
          </w:p>
          <w:p w:rsidR="0051584B" w:rsidRPr="00387908" w:rsidRDefault="0051584B" w:rsidP="00515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виносити на розгляд сесії міської</w:t>
            </w:r>
          </w:p>
          <w:p w:rsidR="0051584B" w:rsidRPr="00387908" w:rsidRDefault="0051584B" w:rsidP="00515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ради та не приймати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ішення міської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ради </w:t>
            </w:r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«Про встановлення ставок та </w:t>
            </w:r>
            <w:proofErr w:type="gramStart"/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</w:t>
            </w:r>
            <w:proofErr w:type="gramEnd"/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ільг із сплати  місцевих </w:t>
            </w:r>
            <w:r w:rsid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6D0C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податків і зборів на 2021</w:t>
            </w:r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рік»</w:t>
            </w:r>
          </w:p>
        </w:tc>
        <w:tc>
          <w:tcPr>
            <w:tcW w:w="5140" w:type="dxa"/>
          </w:tcPr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такому випадку відповідно до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пункту 12.3.5 статті 12 Податкового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кодексу України,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ісцеві податки і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збори сплачуються платниками 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порядку, встановленому Кодексом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інімальними ставками, що не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сприятиме наповненню місцевого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бюджету в можливих обсягах.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Очікуванні втрати місцевого бюджету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результаті неприйняття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ішення</w:t>
            </w:r>
          </w:p>
          <w:p w:rsidR="004B4F93" w:rsidRPr="005D17A6" w:rsidRDefault="005D17A6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«Про встановлення ставок та пільг із сплати  місцевих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D49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податків і зборів на 2021 </w:t>
            </w:r>
            <w:r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рік»</w:t>
            </w:r>
            <w:r w:rsidR="004B4F93"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складатимуть: </w:t>
            </w:r>
            <w:r w:rsidR="006E24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7631,6</w:t>
            </w:r>
            <w:r w:rsidR="004B4F93" w:rsidRPr="002A1B88">
              <w:rPr>
                <w:rFonts w:ascii="Times New Roman" w:hAnsi="Times New Roman" w:cs="Times New Roman"/>
                <w:sz w:val="28"/>
                <w:szCs w:val="28"/>
              </w:rPr>
              <w:t xml:space="preserve"> тис. грн.,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4F93"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що не дозволить </w:t>
            </w:r>
            <w:proofErr w:type="gramStart"/>
            <w:r w:rsidR="004B4F93"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</w:t>
            </w:r>
            <w:proofErr w:type="gramEnd"/>
            <w:r w:rsidR="004B4F93"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інансувати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заходи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іального, економічного та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інжен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ерного значення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Новоселицької </w:t>
            </w: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ОТГ</w:t>
            </w:r>
            <w:r w:rsidR="001D498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(благоустрій, утримання комунальних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закладі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інше.)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1584B" w:rsidTr="0051584B">
        <w:tc>
          <w:tcPr>
            <w:tcW w:w="5139" w:type="dxa"/>
          </w:tcPr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Альтернатива 2.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Прийняти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ішення </w:t>
            </w:r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«Про встановлення ставок та пільг із сплати  місцевих </w:t>
            </w:r>
            <w:r w:rsid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6D0C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податків і зборів на 2021</w:t>
            </w:r>
            <w:r w:rsidR="005D17A6" w:rsidRP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рік»</w:t>
            </w:r>
            <w:r w:rsidR="005D1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запропонованому вигляді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40" w:type="dxa"/>
          </w:tcPr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Прийняття даного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ішення забезпечить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досягнення встановлених цілей,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ітких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прозорих механізмів справляння та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сплати місцевих податків і зборів на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 міста та відповідне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наповнення місцевого бюджету.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Забезпечить фінансову основу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самостійності органу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ісцевого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самоврядування.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 громади орієнтовно</w:t>
            </w:r>
          </w:p>
          <w:p w:rsidR="004B4F93" w:rsidRPr="00387908" w:rsidRDefault="00F25AF2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AF2">
              <w:rPr>
                <w:rFonts w:ascii="Times New Roman" w:hAnsi="Times New Roman" w:cs="Times New Roman"/>
                <w:sz w:val="28"/>
                <w:szCs w:val="28"/>
              </w:rPr>
              <w:t xml:space="preserve">надійде </w:t>
            </w:r>
            <w:r w:rsidR="006D0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20757,2 </w:t>
            </w:r>
            <w:r w:rsidR="004B4F93" w:rsidRPr="00F25AF2">
              <w:rPr>
                <w:rFonts w:ascii="Times New Roman" w:hAnsi="Times New Roman" w:cs="Times New Roman"/>
                <w:sz w:val="28"/>
                <w:szCs w:val="28"/>
              </w:rPr>
              <w:t>тис</w:t>
            </w:r>
            <w:proofErr w:type="gramStart"/>
            <w:r w:rsidR="004B4F93" w:rsidRPr="00F25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B4F93" w:rsidRPr="00F25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B4F93" w:rsidRPr="00F25A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B4F93" w:rsidRPr="00F25AF2">
              <w:rPr>
                <w:rFonts w:ascii="Times New Roman" w:hAnsi="Times New Roman" w:cs="Times New Roman"/>
                <w:sz w:val="28"/>
                <w:szCs w:val="28"/>
              </w:rPr>
              <w:t>рн., що</w:t>
            </w:r>
            <w:r w:rsidR="004B4F93"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дозволить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інансувати в повному об’ємі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комунальні дошкільні навчальні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заклади, благоустрій та інші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іальні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програми.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Крім того, при визначенні розміру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ставок податкі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зборів, враховані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пропозиції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ідприємців, що дозволить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уникнути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іальної напруги та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сприятиме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ідвищенню рівня довіри до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ісцевої влади.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1584B" w:rsidTr="0051584B">
        <w:tc>
          <w:tcPr>
            <w:tcW w:w="5139" w:type="dxa"/>
          </w:tcPr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Альтернатива 3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Встановлення максимальних ставок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</w:t>
            </w:r>
            <w:r w:rsidR="006D0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сцевих податків і зборів на 202</w:t>
            </w:r>
            <w:r w:rsidR="006D0C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ік.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40" w:type="dxa"/>
          </w:tcPr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рахунок прийняття максимальних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ставок можливе значне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перевиконання дохідної частини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ісцевого бюджету, додатково надійде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F25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міського </w:t>
            </w:r>
            <w:r w:rsidR="00F25AF2" w:rsidRPr="00F25AF2">
              <w:rPr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r w:rsidR="006D0C57" w:rsidRPr="006D0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53737,2</w:t>
            </w:r>
            <w:r w:rsidRPr="00F25AF2">
              <w:rPr>
                <w:rFonts w:ascii="Times New Roman" w:hAnsi="Times New Roman" w:cs="Times New Roman"/>
                <w:sz w:val="28"/>
                <w:szCs w:val="28"/>
              </w:rPr>
              <w:t xml:space="preserve"> тис</w:t>
            </w:r>
            <w:proofErr w:type="gramStart"/>
            <w:r w:rsidRPr="00F25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25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5A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25AF2">
              <w:rPr>
                <w:rFonts w:ascii="Times New Roman" w:hAnsi="Times New Roman" w:cs="Times New Roman"/>
                <w:sz w:val="28"/>
                <w:szCs w:val="28"/>
              </w:rPr>
              <w:t>рн.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Прийняття такого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ішення призведе до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значного збільшення навантаження на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суб’єктів господарювання, що в сою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чергу призведе до нарахування пені,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штрафних санкцій за несвоєчасну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сплату, збільшить недоїмку із сплати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податків і зборів. Можливе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скорочення кількості зареєстрованих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СПД. Можливе виникнення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іальної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напруги, непорозуміння </w:t>
            </w:r>
            <w:proofErr w:type="gramStart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gramEnd"/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місцевою</w:t>
            </w:r>
          </w:p>
          <w:p w:rsidR="004B4F93" w:rsidRPr="00387908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владою та СПД.</w:t>
            </w:r>
          </w:p>
          <w:p w:rsidR="0051584B" w:rsidRDefault="0051584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51584B" w:rsidRDefault="0051584B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0383" w:rsidRPr="00387908" w:rsidRDefault="004B4F9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r w:rsidR="002060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Оцінка вибраних альтернативних способів досягнення цілей</w:t>
      </w:r>
    </w:p>
    <w:p w:rsidR="00150383" w:rsidRPr="004B4F93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Default="002060D4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         </w:t>
      </w:r>
      <w:r w:rsidR="00150383" w:rsidRPr="003879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Оцінка впливу на сферу інтересів органів </w:t>
      </w:r>
      <w:proofErr w:type="gramStart"/>
      <w:r w:rsidR="00150383" w:rsidRPr="003879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proofErr w:type="gramEnd"/>
      <w:r w:rsidR="00150383" w:rsidRPr="003879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ісцевого самоврядування</w:t>
      </w:r>
    </w:p>
    <w:p w:rsidR="004B4F93" w:rsidRDefault="004B4F9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802"/>
        <w:gridCol w:w="4050"/>
        <w:gridCol w:w="3427"/>
      </w:tblGrid>
      <w:tr w:rsidR="004B4F93" w:rsidTr="004B4F93">
        <w:tc>
          <w:tcPr>
            <w:tcW w:w="2802" w:type="dxa"/>
          </w:tcPr>
          <w:p w:rsidR="004B4F93" w:rsidRPr="004B4F93" w:rsidRDefault="004B4F93">
            <w:pPr>
              <w:rPr>
                <w:lang w:val="uk-UA"/>
              </w:rPr>
            </w:pPr>
            <w:r w:rsidRPr="006248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альтернативи </w:t>
            </w:r>
          </w:p>
        </w:tc>
        <w:tc>
          <w:tcPr>
            <w:tcW w:w="4050" w:type="dxa"/>
          </w:tcPr>
          <w:p w:rsidR="004B4F93" w:rsidRPr="004B4F93" w:rsidRDefault="004B4F93">
            <w:pPr>
              <w:rPr>
                <w:lang w:val="uk-UA"/>
              </w:rPr>
            </w:pPr>
            <w:r w:rsidRPr="006248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Вигоди </w:t>
            </w:r>
          </w:p>
        </w:tc>
        <w:tc>
          <w:tcPr>
            <w:tcW w:w="3427" w:type="dxa"/>
          </w:tcPr>
          <w:p w:rsidR="004B4F93" w:rsidRDefault="004B4F93">
            <w:r w:rsidRPr="006248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Витрати</w:t>
            </w:r>
          </w:p>
        </w:tc>
      </w:tr>
      <w:tr w:rsidR="004B4F93" w:rsidTr="004B4F93">
        <w:tc>
          <w:tcPr>
            <w:tcW w:w="2802" w:type="dxa"/>
          </w:tcPr>
          <w:p w:rsidR="004B4F93" w:rsidRPr="00624847" w:rsidRDefault="004B4F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5D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1</w:t>
            </w:r>
          </w:p>
        </w:tc>
        <w:tc>
          <w:tcPr>
            <w:tcW w:w="4050" w:type="dxa"/>
          </w:tcPr>
          <w:p w:rsidR="004B4F93" w:rsidRPr="00624847" w:rsidRDefault="004B4F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427" w:type="dxa"/>
          </w:tcPr>
          <w:p w:rsidR="004B4F93" w:rsidRPr="00624847" w:rsidRDefault="004B4F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Втра</w:t>
            </w:r>
            <w:r w:rsidR="00F2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ти</w:t>
            </w:r>
            <w:r w:rsidR="006E24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місцевого бюджету у сумі 7631,6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тис.грн., за рахунок сплати податків за мінімальними ставками</w:t>
            </w:r>
          </w:p>
        </w:tc>
      </w:tr>
      <w:tr w:rsidR="004B4F93" w:rsidTr="004B4F93">
        <w:tc>
          <w:tcPr>
            <w:tcW w:w="2802" w:type="dxa"/>
          </w:tcPr>
          <w:p w:rsidR="004B4F93" w:rsidRPr="00CB5D15" w:rsidRDefault="004B4F93" w:rsidP="004B4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4050" w:type="dxa"/>
          </w:tcPr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Забезпечить дотримання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вимог Податкового кодексу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України, реалізацію наданих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органам </w:t>
            </w:r>
            <w:proofErr w:type="gramStart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самоврядування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повноважень.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Забезпечить відповідні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надходження до </w:t>
            </w:r>
            <w:proofErr w:type="gramStart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 від сплати місцевих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податків і зборів</w:t>
            </w:r>
          </w:p>
          <w:p w:rsidR="00845675" w:rsidRPr="004B4F93" w:rsidRDefault="00F25AF2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(прогнозована сума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20757,2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45675"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="00845675"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="00845675"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рн.).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3.Створить сприятливі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фінансові можливості міської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влади для задоволення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іальних та інших потреб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територіальної громади.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 Вдосконалить відносини</w:t>
            </w:r>
          </w:p>
          <w:p w:rsidR="00845675" w:rsidRPr="004B4F93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між місцевою владою та СПД</w:t>
            </w:r>
            <w:proofErr w:type="gramStart"/>
            <w:r w:rsidRPr="004B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B4F93" w:rsidRPr="004B4F93" w:rsidRDefault="004B4F93" w:rsidP="00385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4B4F93" w:rsidRPr="004B4F93" w:rsidRDefault="00845675" w:rsidP="00385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Відсутні</w:t>
            </w:r>
          </w:p>
        </w:tc>
      </w:tr>
      <w:tr w:rsidR="004B4F93" w:rsidTr="004B4F93">
        <w:tc>
          <w:tcPr>
            <w:tcW w:w="2802" w:type="dxa"/>
          </w:tcPr>
          <w:p w:rsidR="004B4F93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</w:tc>
        <w:tc>
          <w:tcPr>
            <w:tcW w:w="4050" w:type="dxa"/>
          </w:tcPr>
          <w:p w:rsidR="00845675" w:rsidRPr="00845675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Додаткові надходження</w:t>
            </w:r>
          </w:p>
          <w:p w:rsidR="00845675" w:rsidRPr="00845675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кошті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 місцевого бюджету</w:t>
            </w:r>
          </w:p>
          <w:p w:rsidR="00845675" w:rsidRPr="00845675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(о</w:t>
            </w:r>
            <w:r w:rsidR="00A853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рієнтовно у сумі</w:t>
            </w:r>
            <w:r w:rsidR="00A853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20757,2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рн.) та спрямування їх на</w:t>
            </w:r>
          </w:p>
          <w:p w:rsidR="00845675" w:rsidRPr="00845675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іально-економічний</w:t>
            </w:r>
          </w:p>
          <w:p w:rsidR="00845675" w:rsidRPr="00845675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розвиток громади</w:t>
            </w:r>
          </w:p>
          <w:p w:rsidR="004B4F93" w:rsidRDefault="004B4F93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</w:p>
          <w:p w:rsidR="004B4F93" w:rsidRDefault="004B4F93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4B4F93" w:rsidRP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 xml:space="preserve">Існування ризику переходу діяльності суб’єктів господарювання в «тінь» та несплати податків. Погіршення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іміджу місцевої влади.</w:t>
            </w:r>
          </w:p>
        </w:tc>
      </w:tr>
    </w:tbl>
    <w:p w:rsidR="004B4F93" w:rsidRPr="004B4F93" w:rsidRDefault="004B4F9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150383" w:rsidRDefault="00845675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</w:t>
      </w:r>
      <w:r w:rsidR="00150383" w:rsidRPr="003879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Оцінка впливу на сферу інтересів громадян</w:t>
      </w:r>
    </w:p>
    <w:tbl>
      <w:tblPr>
        <w:tblStyle w:val="a3"/>
        <w:tblW w:w="0" w:type="auto"/>
        <w:tblLook w:val="04A0"/>
      </w:tblPr>
      <w:tblGrid>
        <w:gridCol w:w="2802"/>
        <w:gridCol w:w="4050"/>
        <w:gridCol w:w="3427"/>
      </w:tblGrid>
      <w:tr w:rsidR="00845675" w:rsidTr="00C96A3B">
        <w:tc>
          <w:tcPr>
            <w:tcW w:w="2802" w:type="dxa"/>
          </w:tcPr>
          <w:p w:rsidR="00845675" w:rsidRPr="00C96A3B" w:rsidRDefault="00845675" w:rsidP="00845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6A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альтернативи </w:t>
            </w:r>
          </w:p>
          <w:p w:rsidR="00845675" w:rsidRPr="00C96A3B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50" w:type="dxa"/>
          </w:tcPr>
          <w:p w:rsidR="00845675" w:rsidRPr="00C96A3B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96A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427" w:type="dxa"/>
          </w:tcPr>
          <w:p w:rsidR="00845675" w:rsidRPr="00C96A3B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C96A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</w:p>
        </w:tc>
      </w:tr>
      <w:tr w:rsidR="00845675" w:rsidTr="00C96A3B">
        <w:tc>
          <w:tcPr>
            <w:tcW w:w="2802" w:type="dxa"/>
          </w:tcPr>
          <w:p w:rsidR="00845675" w:rsidRDefault="00C96A3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1</w:t>
            </w:r>
          </w:p>
        </w:tc>
        <w:tc>
          <w:tcPr>
            <w:tcW w:w="4050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податку за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інімальними ставками,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передбаченими Податковим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кодексом України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Витрати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пов’язан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 лише з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платою за землю, в сумі:</w:t>
            </w:r>
          </w:p>
          <w:p w:rsidR="00C96A3B" w:rsidRPr="00845675" w:rsidRDefault="006E24A0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7631,6</w:t>
            </w:r>
            <w:r w:rsidR="00C96A3B"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тис. грн.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45675" w:rsidTr="00C96A3B">
        <w:tc>
          <w:tcPr>
            <w:tcW w:w="2802" w:type="dxa"/>
          </w:tcPr>
          <w:p w:rsidR="00845675" w:rsidRDefault="00C96A3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4050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Вирішення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іально-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економічних проблем громади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рахунок наповнення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дохідної частини місцевого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за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встановленими ставками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45675" w:rsidTr="00C96A3B">
        <w:tc>
          <w:tcPr>
            <w:tcW w:w="2802" w:type="dxa"/>
          </w:tcPr>
          <w:p w:rsidR="00845675" w:rsidRDefault="00C96A3B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</w:tc>
        <w:tc>
          <w:tcPr>
            <w:tcW w:w="4050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Вирішення більшої кількості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іальних проблем міста за</w:t>
            </w:r>
          </w:p>
          <w:p w:rsidR="00C96A3B" w:rsidRPr="007951A2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рахунок значного зростання</w:t>
            </w:r>
            <w:r w:rsidR="007951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дохідної частини міського бюджету 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Надмірне податкове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 призведе до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несвоєчасних сплати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місцевих податкі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зборів, а це в свою чергу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 нарахування пені та</w:t>
            </w:r>
          </w:p>
          <w:p w:rsidR="00C96A3B" w:rsidRPr="00845675" w:rsidRDefault="00C96A3B" w:rsidP="00C96A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штрафних санкцій.</w:t>
            </w:r>
          </w:p>
          <w:p w:rsidR="00845675" w:rsidRDefault="0084567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45675" w:rsidRPr="00845675" w:rsidRDefault="00845675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:rsidR="00150383" w:rsidRPr="00845675" w:rsidRDefault="007951A2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            </w:t>
      </w:r>
      <w:r w:rsidR="00150383" w:rsidRPr="008456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Оцінка впливу на сферу інтересів суб’єктів господарювання</w:t>
      </w:r>
    </w:p>
    <w:p w:rsidR="00150383" w:rsidRPr="00845675" w:rsidRDefault="007951A2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 даними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Новоселицької </w:t>
      </w:r>
      <w:r w:rsidR="00150383" w:rsidRPr="008456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ОДПІ станом на 01.01.2019 року</w:t>
      </w:r>
    </w:p>
    <w:tbl>
      <w:tblPr>
        <w:tblStyle w:val="a3"/>
        <w:tblW w:w="0" w:type="auto"/>
        <w:tblLook w:val="04A0"/>
      </w:tblPr>
      <w:tblGrid>
        <w:gridCol w:w="2256"/>
        <w:gridCol w:w="1596"/>
        <w:gridCol w:w="1618"/>
        <w:gridCol w:w="1648"/>
        <w:gridCol w:w="1583"/>
        <w:gridCol w:w="1578"/>
      </w:tblGrid>
      <w:tr w:rsidR="007951A2" w:rsidTr="007951A2">
        <w:tc>
          <w:tcPr>
            <w:tcW w:w="2256" w:type="dxa"/>
          </w:tcPr>
          <w:p w:rsidR="007951A2" w:rsidRDefault="007951A2" w:rsidP="007951A2"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Показник </w:t>
            </w:r>
          </w:p>
        </w:tc>
        <w:tc>
          <w:tcPr>
            <w:tcW w:w="1596" w:type="dxa"/>
          </w:tcPr>
          <w:p w:rsidR="007951A2" w:rsidRDefault="007951A2" w:rsidP="007951A2"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Великі </w:t>
            </w:r>
          </w:p>
        </w:tc>
        <w:tc>
          <w:tcPr>
            <w:tcW w:w="1618" w:type="dxa"/>
          </w:tcPr>
          <w:p w:rsidR="007951A2" w:rsidRDefault="007951A2" w:rsidP="007951A2"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Середні </w:t>
            </w:r>
          </w:p>
        </w:tc>
        <w:tc>
          <w:tcPr>
            <w:tcW w:w="1648" w:type="dxa"/>
          </w:tcPr>
          <w:p w:rsidR="007951A2" w:rsidRDefault="007951A2" w:rsidP="007951A2"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Малі </w:t>
            </w:r>
          </w:p>
        </w:tc>
        <w:tc>
          <w:tcPr>
            <w:tcW w:w="1583" w:type="dxa"/>
          </w:tcPr>
          <w:p w:rsidR="007951A2" w:rsidRPr="007951A2" w:rsidRDefault="007951A2">
            <w:pPr>
              <w:rPr>
                <w:lang w:val="uk-UA"/>
              </w:rPr>
            </w:pPr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Мікро </w:t>
            </w:r>
          </w:p>
        </w:tc>
        <w:tc>
          <w:tcPr>
            <w:tcW w:w="1578" w:type="dxa"/>
          </w:tcPr>
          <w:p w:rsidR="007951A2" w:rsidRDefault="007951A2">
            <w:r w:rsidRPr="00973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Разом</w:t>
            </w:r>
          </w:p>
        </w:tc>
      </w:tr>
      <w:tr w:rsidR="007951A2" w:rsidTr="007951A2">
        <w:tc>
          <w:tcPr>
            <w:tcW w:w="2256" w:type="dxa"/>
          </w:tcPr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суб’єкті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господарювання,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що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ідпадають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під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ію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регулювання,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одиниць*</w:t>
            </w:r>
          </w:p>
          <w:p w:rsidR="007951A2" w:rsidRDefault="007951A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7951A2" w:rsidRDefault="007951A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</w:tcPr>
          <w:p w:rsidR="007951A2" w:rsidRDefault="00931096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7951A2" w:rsidRDefault="006E24A0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1037</w:t>
            </w:r>
          </w:p>
        </w:tc>
        <w:tc>
          <w:tcPr>
            <w:tcW w:w="1583" w:type="dxa"/>
          </w:tcPr>
          <w:p w:rsidR="007951A2" w:rsidRDefault="00931096"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78" w:type="dxa"/>
          </w:tcPr>
          <w:p w:rsidR="007951A2" w:rsidRDefault="006E24A0"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1038</w:t>
            </w:r>
          </w:p>
        </w:tc>
      </w:tr>
      <w:tr w:rsidR="007951A2" w:rsidTr="007951A2">
        <w:tc>
          <w:tcPr>
            <w:tcW w:w="2256" w:type="dxa"/>
          </w:tcPr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Питома вага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групи у загальній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кількості,</w:t>
            </w:r>
          </w:p>
          <w:p w:rsidR="007951A2" w:rsidRPr="00845675" w:rsidRDefault="007951A2" w:rsidP="00795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відсотків</w:t>
            </w:r>
          </w:p>
          <w:p w:rsidR="007951A2" w:rsidRDefault="007951A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7951A2" w:rsidRDefault="007951A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0%</w:t>
            </w:r>
          </w:p>
        </w:tc>
        <w:tc>
          <w:tcPr>
            <w:tcW w:w="1618" w:type="dxa"/>
          </w:tcPr>
          <w:p w:rsidR="007951A2" w:rsidRDefault="00A8531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  <w:r w:rsidR="007951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648" w:type="dxa"/>
          </w:tcPr>
          <w:p w:rsidR="007951A2" w:rsidRDefault="00A8531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99</w:t>
            </w:r>
            <w:r w:rsidR="007951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583" w:type="dxa"/>
          </w:tcPr>
          <w:p w:rsidR="007951A2" w:rsidRDefault="00A8531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  <w:r w:rsidR="007951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578" w:type="dxa"/>
          </w:tcPr>
          <w:p w:rsidR="007951A2" w:rsidRDefault="007951A2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100%</w:t>
            </w:r>
          </w:p>
        </w:tc>
      </w:tr>
    </w:tbl>
    <w:p w:rsidR="007951A2" w:rsidRDefault="007951A2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D4984" w:rsidRDefault="001D4984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D4984" w:rsidRDefault="001D4984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D4984" w:rsidRDefault="001D4984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  <w:gridCol w:w="3767"/>
        <w:gridCol w:w="3427"/>
      </w:tblGrid>
      <w:tr w:rsidR="00F235E5" w:rsidTr="00F235E5">
        <w:tc>
          <w:tcPr>
            <w:tcW w:w="3085" w:type="dxa"/>
          </w:tcPr>
          <w:p w:rsidR="00F235E5" w:rsidRP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235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Вид альтернативи</w:t>
            </w:r>
          </w:p>
        </w:tc>
        <w:tc>
          <w:tcPr>
            <w:tcW w:w="3767" w:type="dxa"/>
          </w:tcPr>
          <w:p w:rsidR="00F235E5" w:rsidRP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235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427" w:type="dxa"/>
          </w:tcPr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</w:p>
          <w:p w:rsidR="00F235E5" w:rsidRP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F235E5" w:rsidTr="00F235E5">
        <w:tc>
          <w:tcPr>
            <w:tcW w:w="3085" w:type="dxa"/>
          </w:tcPr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1</w:t>
            </w:r>
          </w:p>
        </w:tc>
        <w:tc>
          <w:tcPr>
            <w:tcW w:w="3767" w:type="dxa"/>
          </w:tcPr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і зборів за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інімальними ставками,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передбаченими Податковим</w:t>
            </w:r>
          </w:p>
          <w:p w:rsid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кодексом України</w:t>
            </w:r>
          </w:p>
        </w:tc>
        <w:tc>
          <w:tcPr>
            <w:tcW w:w="3427" w:type="dxa"/>
          </w:tcPr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Витрати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пов’язан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 лише з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плати за землю, в сумі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:rsidR="00F235E5" w:rsidRPr="00845675" w:rsidRDefault="006E24A0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7631,6</w:t>
            </w:r>
            <w:r w:rsidR="00F235E5"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тис. грн.</w:t>
            </w:r>
          </w:p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F235E5" w:rsidTr="00F235E5">
        <w:tc>
          <w:tcPr>
            <w:tcW w:w="3085" w:type="dxa"/>
          </w:tcPr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3767" w:type="dxa"/>
          </w:tcPr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і зборів за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обґрунтованими ставками.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Встановлення </w:t>
            </w:r>
            <w:proofErr w:type="gramStart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ьг по сплаті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податків для окремих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категорій громадян.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Відкритість процедури,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прозорість дій місцевого</w:t>
            </w:r>
          </w:p>
          <w:p w:rsidR="00F235E5" w:rsidRPr="0084567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56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самоврядування.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Вдосконалить відносини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між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місцевою владою та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суб’єктами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господарювання,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пов’язаних зі справлянням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податкі</w:t>
            </w:r>
            <w:proofErr w:type="gramStart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зборів, оскільки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враховані пропозиції суб’єктів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ідприємницької діяльності.</w:t>
            </w:r>
          </w:p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Затрати часу, необхідні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для ознайомлення з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ішенням про місцеві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 і збори.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за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запропонованими</w:t>
            </w:r>
          </w:p>
          <w:p w:rsidR="00F235E5" w:rsidRPr="00F235E5" w:rsidRDefault="00A8531A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ставками (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20757,2 </w:t>
            </w:r>
            <w:r w:rsidR="00F235E5"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тис.</w:t>
            </w:r>
            <w:proofErr w:type="gramEnd"/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грн.).</w:t>
            </w:r>
            <w:proofErr w:type="gramEnd"/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Детальна інформація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 очікуваних витрат</w:t>
            </w:r>
          </w:p>
          <w:p w:rsidR="00F235E5" w:rsidRPr="00DB25C2" w:rsidRDefault="00DB25C2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наведено у додатку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 цього АРВ</w:t>
            </w:r>
          </w:p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F235E5" w:rsidTr="00F235E5">
        <w:tc>
          <w:tcPr>
            <w:tcW w:w="3085" w:type="dxa"/>
          </w:tcPr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F235E5" w:rsidRDefault="00F235E5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Відсутні </w:t>
            </w:r>
          </w:p>
        </w:tc>
        <w:tc>
          <w:tcPr>
            <w:tcW w:w="3427" w:type="dxa"/>
          </w:tcPr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рахунок прийняття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максимальних ставок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додаткові витрати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орієнтовно будуть</w:t>
            </w:r>
          </w:p>
          <w:p w:rsidR="00F235E5" w:rsidRPr="00F235E5" w:rsidRDefault="00DB25C2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складати </w:t>
            </w:r>
            <w:r w:rsidR="00BF4BA0" w:rsidRPr="00BF4B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37362,96</w:t>
            </w:r>
            <w:r w:rsidR="00F235E5" w:rsidRPr="00BF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235E5"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="00F235E5"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="00F235E5"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Надмірне податкове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спричинить додаткові</w:t>
            </w:r>
          </w:p>
          <w:p w:rsidR="00F235E5" w:rsidRP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(непомірні) витрати</w:t>
            </w:r>
          </w:p>
          <w:p w:rsidR="00F235E5" w:rsidRDefault="00F235E5" w:rsidP="00F23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малого бізнесу</w:t>
            </w:r>
            <w:proofErr w:type="gramStart"/>
            <w:r w:rsidRPr="00F235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150383" w:rsidRPr="00F235E5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180F43" w:rsidRDefault="00F235E5" w:rsidP="00F23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 зв’язку з відсутністю суб'єктів госп</w:t>
      </w:r>
      <w:r w:rsidR="00180F4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одарювання великого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підприємництва, що підпадають під дію регуляторного акту, витрати на одного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суб’єкта госп</w:t>
      </w:r>
      <w:r w:rsid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одарювання великого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підприємництва, які виникають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внаслідок дії регуляторного акта згідно Додатка 2 до Методики проведення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180F4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аналізу впливу регуляторного акта не розраховувалися.</w:t>
      </w:r>
    </w:p>
    <w:p w:rsidR="00F235E5" w:rsidRDefault="00F235E5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387908" w:rsidRDefault="00B5230A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ІV. Вибі</w:t>
      </w:r>
      <w:proofErr w:type="gramStart"/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найбільш оптимального альтернативного способу досягнення</w:t>
      </w:r>
    </w:p>
    <w:p w:rsidR="00150383" w:rsidRPr="00387908" w:rsidRDefault="00150383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цілей</w:t>
      </w:r>
    </w:p>
    <w:tbl>
      <w:tblPr>
        <w:tblStyle w:val="a3"/>
        <w:tblW w:w="0" w:type="auto"/>
        <w:tblLook w:val="04A0"/>
      </w:tblPr>
      <w:tblGrid>
        <w:gridCol w:w="3426"/>
        <w:gridCol w:w="3426"/>
        <w:gridCol w:w="3427"/>
      </w:tblGrid>
      <w:tr w:rsidR="00B5230A" w:rsidTr="00B5230A">
        <w:tc>
          <w:tcPr>
            <w:tcW w:w="3426" w:type="dxa"/>
          </w:tcPr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Рейтинг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результативності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(досягнення цілей </w:t>
            </w:r>
            <w:proofErr w:type="gramStart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 вирішення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проблеми)</w:t>
            </w:r>
            <w:proofErr w:type="gramEnd"/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6" w:type="dxa"/>
          </w:tcPr>
          <w:p w:rsid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 результативності 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(за чотирибальною</w:t>
            </w:r>
            <w:proofErr w:type="gramEnd"/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системою оцінки)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Коментарі щодо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присвоєння</w:t>
            </w:r>
          </w:p>
          <w:p w:rsidR="00B5230A" w:rsidRPr="00387908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відповідного бала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230A" w:rsidTr="00B5230A">
        <w:tc>
          <w:tcPr>
            <w:tcW w:w="3426" w:type="dxa"/>
          </w:tcPr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Альтернатива 1</w:t>
            </w:r>
          </w:p>
        </w:tc>
        <w:tc>
          <w:tcPr>
            <w:tcW w:w="3426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1 - цілі прийняття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регуляторного акта не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можуть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бути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досягнуті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(проблема продовжує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існувати)</w:t>
            </w:r>
            <w:proofErr w:type="gramEnd"/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Така альтернатива є не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прийнятною, оскільки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ісцеві податки та збори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будуть сплачуватися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платниками відповідно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 Податкового кодексу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України за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інімальними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ставками, громадяни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втратять додаткові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ільги. Зменшаться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надходження до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місцевого бюджету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 це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дозволить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інансувати в повній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 соціально-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економічні та інші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програми. Очікуванні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втрати до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 складатимуть</w:t>
            </w:r>
          </w:p>
          <w:p w:rsidR="00B5230A" w:rsidRPr="00B5230A" w:rsidRDefault="00BF4BA0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4B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14238,2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тис. грн</w:t>
            </w:r>
            <w:proofErr w:type="gramStart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..</w:t>
            </w:r>
            <w:proofErr w:type="gramEnd"/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230A" w:rsidTr="00B5230A">
        <w:tc>
          <w:tcPr>
            <w:tcW w:w="3426" w:type="dxa"/>
          </w:tcPr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3426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3 - цілі прийняття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проекту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регуляторного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акта можуть бути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досягнуті майже повною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мірою (усі важливі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аспекти проблеми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існувати не будуть)</w:t>
            </w:r>
            <w:proofErr w:type="gramEnd"/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Прийняття даного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 міської ради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забезпечить досягнути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встановлених цілей,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ітких та прозорих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механізмів справляння та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сплати місцевих податків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 зборів на території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іста та відповідне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наповнення місцевого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бюджету.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бюджету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територіальної громади</w:t>
            </w:r>
          </w:p>
          <w:p w:rsidR="00B5230A" w:rsidRPr="0069115B" w:rsidRDefault="0069115B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надійде орієнтовно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20757,2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 Таким чином,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прийняттям вказаного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 буде досягнуто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балансу інтересів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 і платників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податків і зборів.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230A" w:rsidTr="00B5230A">
        <w:tc>
          <w:tcPr>
            <w:tcW w:w="3426" w:type="dxa"/>
          </w:tcPr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</w:tc>
        <w:tc>
          <w:tcPr>
            <w:tcW w:w="3426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2- цілі прийняття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регуляторного акта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будуть досягнуті</w:t>
            </w:r>
          </w:p>
          <w:p w:rsidR="00B5230A" w:rsidRDefault="00B5230A" w:rsidP="00B523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частково</w:t>
            </w:r>
          </w:p>
        </w:tc>
        <w:tc>
          <w:tcPr>
            <w:tcW w:w="3427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Надмірне податкове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 на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суб’єкті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знівелює вигоди від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збільшення дохідної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частини бюджету, а саме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існує ризик переходу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суб’єкті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 в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«тінь». Балансу інтересі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досягнуто не буде.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5230A" w:rsidRDefault="00B5230A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B5230A" w:rsidTr="00B5230A">
        <w:tc>
          <w:tcPr>
            <w:tcW w:w="2569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Рейтинг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результативності</w:t>
            </w:r>
          </w:p>
          <w:p w:rsidR="00B5230A" w:rsidRP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Вигоди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ідсумок)</w:t>
            </w:r>
          </w:p>
          <w:p w:rsidR="00B5230A" w:rsidRP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ідсумок)</w:t>
            </w:r>
          </w:p>
          <w:p w:rsidR="00B5230A" w:rsidRP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Обґрунтування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відповідного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ісця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альтернативи у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рейтингу</w:t>
            </w:r>
          </w:p>
          <w:p w:rsidR="00B5230A" w:rsidRP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230A" w:rsidTr="00B5230A">
        <w:tc>
          <w:tcPr>
            <w:tcW w:w="2569" w:type="dxa"/>
          </w:tcPr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2570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Наповнення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 та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спрямування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фінансового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ресурсу 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іально-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економічний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розвиток громади.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і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зборів СПД та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громадянами за обґрунтованими ставками.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 за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запропонованими</w:t>
            </w:r>
          </w:p>
          <w:p w:rsidR="00B5230A" w:rsidRPr="00B5230A" w:rsidRDefault="0069115B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ставками </w:t>
            </w:r>
            <w:r w:rsidR="00BB71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20757,2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 Детальна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інформація щодо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очікуваних витрат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СПД наведено у</w:t>
            </w:r>
          </w:p>
          <w:p w:rsidR="00B5230A" w:rsidRPr="00B5230A" w:rsidRDefault="0069115B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додатку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  <w:r w:rsidR="00B5230A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цього АРВ.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Наповнення</w:t>
            </w:r>
          </w:p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місцевого</w:t>
            </w:r>
          </w:p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бюджету,</w:t>
            </w:r>
          </w:p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збереження</w:t>
            </w:r>
          </w:p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кількості суб’єктів</w:t>
            </w:r>
          </w:p>
          <w:p w:rsidR="00B5230A" w:rsidRPr="00242AB5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господарювання</w:t>
            </w:r>
          </w:p>
          <w:p w:rsidR="00B5230A" w:rsidRPr="00B5230A" w:rsidRDefault="00B5230A" w:rsidP="00B5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робочих місць</w:t>
            </w:r>
          </w:p>
          <w:p w:rsidR="00B5230A" w:rsidRDefault="00B5230A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230A" w:rsidTr="00B5230A">
        <w:tc>
          <w:tcPr>
            <w:tcW w:w="2569" w:type="dxa"/>
          </w:tcPr>
          <w:p w:rsidR="00B5230A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</w:tc>
        <w:tc>
          <w:tcPr>
            <w:tcW w:w="2570" w:type="dxa"/>
          </w:tcPr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Додаткові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надходження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кошті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C10D39" w:rsidRPr="0069115B" w:rsidRDefault="0069115B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 (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20757,2</w:t>
            </w:r>
            <w:proofErr w:type="gramEnd"/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рн.) та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спрямування їх на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вирішення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іальних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проблем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територіальної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523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  <w:proofErr w:type="gramEnd"/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Надмірне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податкове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</w:t>
            </w:r>
          </w:p>
          <w:p w:rsidR="00C10D39" w:rsidRPr="00B5230A" w:rsidRDefault="0069115B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BF4BA0" w:rsidRPr="00BF4BA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37362,96</w:t>
            </w:r>
            <w:r w:rsidR="00C10D39" w:rsidRPr="00BF4BA0">
              <w:rPr>
                <w:rFonts w:ascii="Times New Roman" w:hAnsi="Times New Roman" w:cs="Times New Roman"/>
                <w:bCs/>
                <w:sz w:val="28"/>
                <w:szCs w:val="28"/>
              </w:rPr>
              <w:t>тис</w:t>
            </w:r>
            <w:proofErr w:type="gramStart"/>
            <w:r w:rsidR="00C10D39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.г</w:t>
            </w:r>
            <w:proofErr w:type="gramEnd"/>
            <w:r w:rsidR="00C10D39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 )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спричинить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занепад малого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ізнесу.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Детальна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інформація щодо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очікуваних витрат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СПД наведено у</w:t>
            </w:r>
          </w:p>
          <w:p w:rsidR="00C10D39" w:rsidRPr="00B5230A" w:rsidRDefault="0069115B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додатку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  <w:r w:rsidR="00C10D39"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цього АРВ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Додаткове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наповнення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іського бюджету.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Надмірне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 на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СПД, можливе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скорочення</w:t>
            </w:r>
          </w:p>
          <w:p w:rsidR="00C10D39" w:rsidRPr="00387908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кількості СПД</w:t>
            </w: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B5230A" w:rsidRDefault="00B5230A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10D39" w:rsidTr="00B5230A">
        <w:tc>
          <w:tcPr>
            <w:tcW w:w="2569" w:type="dxa"/>
          </w:tcPr>
          <w:p w:rsidR="00C10D39" w:rsidRPr="00B5230A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1</w:t>
            </w:r>
          </w:p>
        </w:tc>
        <w:tc>
          <w:tcPr>
            <w:tcW w:w="2570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Сплата податків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інімальними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ставками,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передбаченими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Податковим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кодексом України</w:t>
            </w:r>
          </w:p>
        </w:tc>
        <w:tc>
          <w:tcPr>
            <w:tcW w:w="2570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Зменшення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надходжень у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ісцевий бюджет.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Сумарні витрати,</w:t>
            </w:r>
          </w:p>
          <w:p w:rsidR="00C10D39" w:rsidRPr="00C10D39" w:rsidRDefault="00BB71DF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7631,6</w:t>
            </w:r>
            <w:r w:rsidR="00C10D39"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тис. грн.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Зменшення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надходжень до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іського бюджету,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ідвищення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соц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іальної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напруги за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причини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погіршення якості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життя члені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</w:p>
          <w:p w:rsidR="00C10D39" w:rsidRPr="00B5230A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5230A" w:rsidRDefault="00B5230A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5230A" w:rsidRDefault="00B5230A" w:rsidP="0038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4192"/>
        <w:gridCol w:w="3427"/>
      </w:tblGrid>
      <w:tr w:rsidR="00C10D39" w:rsidTr="00C10D39">
        <w:tc>
          <w:tcPr>
            <w:tcW w:w="2660" w:type="dxa"/>
          </w:tcPr>
          <w:p w:rsidR="00C10D39" w:rsidRP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Рейтинг</w:t>
            </w:r>
          </w:p>
        </w:tc>
        <w:tc>
          <w:tcPr>
            <w:tcW w:w="4192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Аргументи щодо переваги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альтернативи/причини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відмови від альтернативи</w:t>
            </w:r>
          </w:p>
          <w:p w:rsidR="00C10D39" w:rsidRP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Оцінка ризику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зовнішніх чинників на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дію запропонованого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регуляторного акта</w:t>
            </w:r>
          </w:p>
          <w:p w:rsidR="00C10D39" w:rsidRP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10D39" w:rsidTr="00C10D39">
        <w:tc>
          <w:tcPr>
            <w:tcW w:w="2660" w:type="dxa"/>
          </w:tcPr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2</w:t>
            </w:r>
          </w:p>
        </w:tc>
        <w:tc>
          <w:tcPr>
            <w:tcW w:w="4192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Альтернатива є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доц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ільною.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Прийняття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забезпечить наповнення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 бюджету. Податкове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навантаження для платників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ісцевих податків і зборів не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буде надмірним. Досягнення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балансу інтересі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органу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 самоврядування та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платників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ісцевих податків і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зборів.</w:t>
            </w:r>
          </w:p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Зміни до чинного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законодавства: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Податкового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Бюджетного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Земельного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інші закони (зміна</w:t>
            </w:r>
            <w:proofErr w:type="gramEnd"/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інімальної заробітної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плати, прожиткового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інімуму, тощо).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Виникнення податкового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боргу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причині не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сплати місцевих податків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зборі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10D39" w:rsidTr="00C10D39">
        <w:tc>
          <w:tcPr>
            <w:tcW w:w="2660" w:type="dxa"/>
          </w:tcPr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Альтернатива 3</w:t>
            </w:r>
          </w:p>
        </w:tc>
        <w:tc>
          <w:tcPr>
            <w:tcW w:w="4192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ілі регулювання можуть бути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досягнуті частково. Надмірне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податкове навантаження на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суб'єктів господарювання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знівелює вигоди від значного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збільшення дохідної частини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 бюджету. Балансу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інтересів досягнути неможливо.</w:t>
            </w:r>
          </w:p>
          <w:p w:rsid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Зміни до чинного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законодавства: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Податкового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Бюджетного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Земельного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інші закони (зміна</w:t>
            </w:r>
            <w:proofErr w:type="gramEnd"/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інімальної заробітної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плати, прожиткового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інімуму, тощо).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Виникнення податкового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боргу 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причині не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сплати місцевих податків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зборі</w:t>
            </w: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10D39" w:rsidTr="00C10D39">
        <w:tc>
          <w:tcPr>
            <w:tcW w:w="2660" w:type="dxa"/>
          </w:tcPr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Альтернатива 1</w:t>
            </w:r>
          </w:p>
        </w:tc>
        <w:tc>
          <w:tcPr>
            <w:tcW w:w="4192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разі неприйняття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регуляторного акта, податок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справлятиметься по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інімальним ставкам, що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спричинить втрати доходної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частини бюджету і відповідно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виконання бюджетних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програм. Вказана альтернатива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є неприйнятною.</w:t>
            </w:r>
          </w:p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</w:tcPr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Зміни до чинного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законодавства: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Податкового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Бюджетного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Земельного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кодексу України;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 інші закони (зміна</w:t>
            </w:r>
            <w:proofErr w:type="gramEnd"/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інімальної заробітної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10D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плати, прожиткового</w:t>
            </w:r>
          </w:p>
          <w:p w:rsidR="00C10D39" w:rsidRPr="00C10D39" w:rsidRDefault="00C10D39" w:rsidP="00C10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інімуму, тощо)</w:t>
            </w:r>
          </w:p>
          <w:p w:rsidR="00C10D39" w:rsidRDefault="00C10D39" w:rsidP="003879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50383" w:rsidRPr="00234EF6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69115B" w:rsidRDefault="00234EF6" w:rsidP="0023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150383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Таким чином для реалізації обрано Альтернативу 2 – встановлення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економічно- обґрунтованих місцевих податків та зборів, що є посильними для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платників податків, та забезпечить фінансову основу самостійності органу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місце</w:t>
      </w:r>
      <w:r w:rsidR="0069115B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вого самоврядування – </w:t>
      </w:r>
      <w:r w:rsid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Новоселицької міької </w:t>
      </w:r>
      <w:r w:rsidR="00150383" w:rsidRP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ради.</w:t>
      </w:r>
    </w:p>
    <w:p w:rsidR="00234EF6" w:rsidRPr="00234EF6" w:rsidRDefault="00234EF6" w:rsidP="0023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234EF6" w:rsidRDefault="00234EF6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</w:t>
      </w:r>
      <w:r w:rsidR="00150383" w:rsidRPr="00234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Механізм, який пропонується застосувати для розв’язання</w:t>
      </w:r>
    </w:p>
    <w:p w:rsidR="00150383" w:rsidRPr="00234EF6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проблеми</w:t>
      </w:r>
    </w:p>
    <w:p w:rsidR="00150383" w:rsidRPr="00234EF6" w:rsidRDefault="00234EF6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234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Запропоновані механізми регуляторного акта, за допомогою яких</w:t>
      </w:r>
    </w:p>
    <w:p w:rsidR="00150383" w:rsidRPr="00234EF6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4E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можна розв’язати проблему:</w:t>
      </w:r>
    </w:p>
    <w:p w:rsidR="00150383" w:rsidRPr="00C10D39" w:rsidRDefault="00234EF6" w:rsidP="0023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В результаті визначення цілі, проведення аналізу поточної ситуації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території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Новоселицької </w:t>
      </w:r>
      <w:r w:rsidR="00150383"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ОТГ, анал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ітичних показників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Новоселицької </w:t>
      </w:r>
      <w:r w:rsidR="00150383"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ОДПІ</w:t>
      </w:r>
    </w:p>
    <w:p w:rsidR="00150383" w:rsidRPr="00234EF6" w:rsidRDefault="00150383" w:rsidP="0023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Чернівецької області, інформаці</w:t>
      </w:r>
      <w:r w:rsidR="00234E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 фінансового відділу </w:t>
      </w:r>
      <w:r w:rsidR="00234E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апарату виконавчого комітету Новоселицької міської ради </w:t>
      </w:r>
      <w:r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станом</w:t>
      </w:r>
      <w:r w:rsidR="00234E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B71DF">
        <w:rPr>
          <w:rFonts w:ascii="Times New Roman" w:hAnsi="Times New Roman" w:cs="Times New Roman"/>
          <w:bCs/>
          <w:color w:val="000000"/>
          <w:sz w:val="28"/>
          <w:szCs w:val="28"/>
        </w:rPr>
        <w:t>на 01.01.20</w:t>
      </w:r>
      <w:r w:rsidR="00BB71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</w:t>
      </w:r>
      <w:r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року, проведених консультацій, нарад та зустрічей, основним</w:t>
      </w:r>
      <w:r w:rsidR="00234E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10D39">
        <w:rPr>
          <w:rFonts w:ascii="Times New Roman" w:hAnsi="Times New Roman" w:cs="Times New Roman"/>
          <w:bCs/>
          <w:color w:val="000000"/>
          <w:sz w:val="28"/>
          <w:szCs w:val="28"/>
        </w:rPr>
        <w:t>механізмом</w:t>
      </w:r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, який забезпечить розв’язання визначеної проблеми є встановлення</w:t>
      </w:r>
      <w:r w:rsidR="00234E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запропонованих місцевих податків і зборів на 202</w:t>
      </w:r>
      <w:r w:rsidR="00BB71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ік.</w:t>
      </w:r>
    </w:p>
    <w:p w:rsidR="00150383" w:rsidRPr="00234EF6" w:rsidRDefault="00234EF6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</w:t>
      </w:r>
      <w:r w:rsidR="00150383"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Заходи, які мають здійснити органи влади для впровадження цього</w:t>
      </w:r>
    </w:p>
    <w:p w:rsidR="00150383" w:rsidRPr="00234EF6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4EF6">
        <w:rPr>
          <w:rFonts w:ascii="Times New Roman" w:hAnsi="Times New Roman" w:cs="Times New Roman"/>
          <w:bCs/>
          <w:color w:val="000000"/>
          <w:sz w:val="28"/>
          <w:szCs w:val="28"/>
        </w:rPr>
        <w:t>регуляторного акта: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Роз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робка проекту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Новоселицької міської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ради 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«Про встановлення ставок та пільг із сплати  місцевих </w:t>
      </w:r>
      <w:r w:rsid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податків і зборів </w:t>
      </w:r>
      <w:r w:rsidR="00BB71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2021</w:t>
      </w:r>
      <w:r w:rsidR="005D17A6" w:rsidRPr="005D17A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рік»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. та АРВ до нього.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Проведення консультацій з суб'єктами господарювання.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Оприлюднення проекту разом з АРВ та отримання пропозицій і</w:t>
      </w:r>
    </w:p>
    <w:p w:rsidR="00150383" w:rsidRPr="00C0270F" w:rsidRDefault="00150383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зауважень.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ідготовка експертного висновку постійної відповідальної комісії щодо</w:t>
      </w:r>
    </w:p>
    <w:p w:rsidR="00150383" w:rsidRPr="00C0270F" w:rsidRDefault="00150383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відповідності проекту </w:t>
      </w:r>
      <w:proofErr w:type="gramStart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ішення вимогам статей 4, 8 Закону України "Про засади</w:t>
      </w:r>
    </w:p>
    <w:p w:rsidR="00150383" w:rsidRPr="00C0270F" w:rsidRDefault="00150383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державної регуляторної політики у сфері господарської діяльності".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Отримання пропозицій по удосконаленню від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ержавної регуляторної</w:t>
      </w:r>
    </w:p>
    <w:p w:rsidR="00150383" w:rsidRPr="00C0270F" w:rsidRDefault="00150383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служби України.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Прийняття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ішення на пленарному засіданн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 сесії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Новоселицької міської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ради.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Оприлюднення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ішення у встановленому законодавством порядку.</w:t>
      </w:r>
    </w:p>
    <w:p w:rsidR="00150383" w:rsidRPr="00C0270F" w:rsidRDefault="00C0270F" w:rsidP="00BB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Проведення заходів з відстеження результативності прийнятого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ішення.</w:t>
      </w:r>
    </w:p>
    <w:p w:rsidR="00150383" w:rsidRPr="00BF4BA0" w:rsidRDefault="00C0270F" w:rsidP="00BF4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B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150383" w:rsidRPr="00BF4BA0">
        <w:rPr>
          <w:rFonts w:ascii="Times New Roman" w:hAnsi="Times New Roman" w:cs="Times New Roman"/>
          <w:sz w:val="28"/>
          <w:szCs w:val="28"/>
        </w:rPr>
        <w:t>За результатами проведених розрахунків очікуваних витрат та вигод</w:t>
      </w:r>
    </w:p>
    <w:p w:rsidR="00150383" w:rsidRPr="00BF4BA0" w:rsidRDefault="00150383" w:rsidP="0020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BA0">
        <w:rPr>
          <w:rFonts w:ascii="Times New Roman" w:hAnsi="Times New Roman" w:cs="Times New Roman"/>
          <w:sz w:val="28"/>
          <w:szCs w:val="28"/>
        </w:rPr>
        <w:t xml:space="preserve">СПД, прогнозується, що прийняття зазначеного проекту </w:t>
      </w:r>
      <w:proofErr w:type="gramStart"/>
      <w:r w:rsidRPr="00BF4B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4BA0">
        <w:rPr>
          <w:rFonts w:ascii="Times New Roman" w:hAnsi="Times New Roman" w:cs="Times New Roman"/>
          <w:sz w:val="28"/>
          <w:szCs w:val="28"/>
        </w:rPr>
        <w:t>ішення дозволить</w:t>
      </w:r>
    </w:p>
    <w:p w:rsidR="00150383" w:rsidRPr="00BF4BA0" w:rsidRDefault="00150383" w:rsidP="0020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BA0">
        <w:rPr>
          <w:rFonts w:ascii="Times New Roman" w:hAnsi="Times New Roman" w:cs="Times New Roman"/>
          <w:sz w:val="28"/>
          <w:szCs w:val="28"/>
        </w:rPr>
        <w:t>забезпечити баланс інтересів суб’єктів господарювання, громадян та органу</w:t>
      </w:r>
    </w:p>
    <w:p w:rsidR="00150383" w:rsidRPr="00BF4BA0" w:rsidRDefault="00150383" w:rsidP="00BF4B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F4BA0">
        <w:rPr>
          <w:rFonts w:ascii="Times New Roman" w:hAnsi="Times New Roman" w:cs="Times New Roman"/>
          <w:sz w:val="28"/>
          <w:szCs w:val="28"/>
        </w:rPr>
        <w:lastRenderedPageBreak/>
        <w:t>м</w:t>
      </w:r>
      <w:proofErr w:type="gramEnd"/>
      <w:r w:rsidRPr="00BF4BA0">
        <w:rPr>
          <w:rFonts w:ascii="Times New Roman" w:hAnsi="Times New Roman" w:cs="Times New Roman"/>
          <w:sz w:val="28"/>
          <w:szCs w:val="28"/>
        </w:rPr>
        <w:t>ісцевого самоврядування. А його застосування буде ефективним для</w:t>
      </w:r>
    </w:p>
    <w:p w:rsidR="00150383" w:rsidRPr="00BF4BA0" w:rsidRDefault="00150383" w:rsidP="00BF4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BA0">
        <w:rPr>
          <w:rFonts w:ascii="Times New Roman" w:hAnsi="Times New Roman" w:cs="Times New Roman"/>
          <w:sz w:val="28"/>
          <w:szCs w:val="28"/>
        </w:rPr>
        <w:t>вирішення проблеми, зазначеній в розділі І цього АРВ.</w:t>
      </w:r>
    </w:p>
    <w:p w:rsidR="00C0270F" w:rsidRPr="00BF4BA0" w:rsidRDefault="00C0270F" w:rsidP="00BF4B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71DF" w:rsidRDefault="00BB71DF" w:rsidP="00BF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C0270F" w:rsidRDefault="00150383" w:rsidP="00C0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Оцінка виконання вимог регуляторного акта залежно від ресурсі</w:t>
      </w:r>
      <w:proofErr w:type="gramStart"/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150383" w:rsidRPr="00C0270F" w:rsidRDefault="00150383" w:rsidP="00C0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якими розпоряджаються органи виконавчої влади чи органи місцевого</w:t>
      </w:r>
    </w:p>
    <w:p w:rsidR="00150383" w:rsidRPr="00C0270F" w:rsidRDefault="00150383" w:rsidP="00C0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самоврядування, фізичні та юридичні особи, які повинні проваджувати або</w:t>
      </w:r>
    </w:p>
    <w:p w:rsidR="00150383" w:rsidRPr="00C0270F" w:rsidRDefault="00150383" w:rsidP="00C0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виконувати ці вимоги.</w:t>
      </w:r>
    </w:p>
    <w:p w:rsidR="00150383" w:rsidRPr="00C0270F" w:rsidRDefault="00C0270F" w:rsidP="00C02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Бюджетні витрати на адміністрування регулювання суб’єктів малого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 не підлягають розрахунку, оскільки встановлені нормами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Податкового кодексу України. Органи місцевого самоврядування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над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ілені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повноваженнями лише встановлювати ставки місцевих податків та зборів, не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змінюючи порядок їх обчислення, сплати та інші адміністративні процедури.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Тест малого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 додається.</w:t>
      </w:r>
    </w:p>
    <w:p w:rsid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C0270F" w:rsidRDefault="00150383" w:rsidP="00C0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Обґрунтування запропонованого строку дії регуляторного акта</w:t>
      </w:r>
    </w:p>
    <w:p w:rsidR="00150383" w:rsidRPr="00C0270F" w:rsidRDefault="00C0270F" w:rsidP="00C0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Термін дії акта: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один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ік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запропонованого терміну дії акта:</w:t>
      </w:r>
    </w:p>
    <w:p w:rsidR="00150383" w:rsidRPr="00C0270F" w:rsidRDefault="00C0270F" w:rsidP="00C02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разі, якщо міська рада у термін до 01 липня не прийняла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ішення про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встановлення відповідних місцевих податків і зборів на наступний рік, такі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податки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справляються, виходячи з норм цього Кодексу, із застосуванням їх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мінімальних ставок та без застосування відповідних коефіцієнтів, а плата за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землю справляється із застосуванням ставок, які діяли до 31 грудня року, що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передує бюджетному періоду, в якому планується застосування плати за землю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ідпункт 12.3.5 пункту 12.3 статті 12 ПКУ, абзац 2 частина 5 розділу XIX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Прикінцеві положення ПКУ).</w:t>
      </w:r>
    </w:p>
    <w:p w:rsidR="00150383" w:rsidRPr="00C0270F" w:rsidRDefault="00C0270F" w:rsidP="00C02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Враховуючи норми Бюджетного та Податкового кодексів України, органи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місцевого самоврядування мають щорічно переглядати розміри ставок місцевих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податкі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зборів, що справляються в установленому ПКУ порядку. Відповідні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ставки будуть діяти лише протягом року, на який прийняті.</w:t>
      </w:r>
    </w:p>
    <w:p w:rsid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C0270F" w:rsidRDefault="00C0270F" w:rsidP="00C02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</w:t>
      </w:r>
      <w:r w:rsidRPr="00C0270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VIII.</w:t>
      </w:r>
      <w:r w:rsidR="00150383"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показників результативності дії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регуляторного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50383" w:rsidRPr="00C02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акта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C0270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-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Розмі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надходжень до місцевого бюджету , пов'язаних з дією акта.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-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Кількість суб`єктів господарювання та/або фізичних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осіб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, на яких</w:t>
      </w:r>
    </w:p>
    <w:p w:rsidR="00150383" w:rsidRPr="00C0270F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поширюється дія акта.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-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Розмі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коштів, що витрачатимуться суб’єктами господарювання та/або</w:t>
      </w:r>
    </w:p>
    <w:p w:rsidR="00150383" w:rsidRPr="00C0270F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фізичних </w:t>
      </w:r>
      <w:proofErr w:type="gramStart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осіб</w:t>
      </w:r>
      <w:proofErr w:type="gramEnd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, пов’язаними з виконаннями вимог акту.</w:t>
      </w: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          </w:t>
      </w:r>
      <w:r w:rsidR="00150383" w:rsidRPr="00C0270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- </w:t>
      </w:r>
      <w:proofErr w:type="gramStart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івень поінформованості суб`єктів господарювання та/або фізичних</w:t>
      </w:r>
    </w:p>
    <w:p w:rsidR="00150383" w:rsidRPr="00C0270F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осіб</w:t>
      </w:r>
      <w:proofErr w:type="gramEnd"/>
      <w:r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основних положень акта</w:t>
      </w:r>
    </w:p>
    <w:p w:rsid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150383" w:rsidRPr="00C0270F">
        <w:rPr>
          <w:rFonts w:ascii="Times New Roman" w:hAnsi="Times New Roman" w:cs="Times New Roman"/>
          <w:bCs/>
          <w:color w:val="000000"/>
          <w:sz w:val="28"/>
          <w:szCs w:val="28"/>
        </w:rPr>
        <w:t>Прогнозні показники результативності.</w:t>
      </w:r>
    </w:p>
    <w:tbl>
      <w:tblPr>
        <w:tblStyle w:val="a3"/>
        <w:tblW w:w="0" w:type="auto"/>
        <w:tblLook w:val="04A0"/>
      </w:tblPr>
      <w:tblGrid>
        <w:gridCol w:w="594"/>
        <w:gridCol w:w="4375"/>
        <w:gridCol w:w="5310"/>
      </w:tblGrid>
      <w:tr w:rsidR="00AA7465" w:rsidTr="00AA7465">
        <w:trPr>
          <w:trHeight w:val="634"/>
        </w:trPr>
        <w:tc>
          <w:tcPr>
            <w:tcW w:w="534" w:type="dxa"/>
            <w:vMerge w:val="restart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4394" w:type="dxa"/>
            <w:vMerge w:val="restart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 показника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 разі прийняття 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 про</w:t>
            </w:r>
          </w:p>
          <w:p w:rsidR="00AA7465" w:rsidRP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ісцеві податки та збори на 2020 р.</w:t>
            </w:r>
          </w:p>
        </w:tc>
      </w:tr>
      <w:tr w:rsidR="00AA7465" w:rsidTr="00AA7465">
        <w:trPr>
          <w:trHeight w:val="326"/>
        </w:trPr>
        <w:tc>
          <w:tcPr>
            <w:tcW w:w="534" w:type="dxa"/>
            <w:vMerge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vMerge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AA7465" w:rsidRP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рн.</w:t>
            </w:r>
          </w:p>
        </w:tc>
      </w:tr>
      <w:tr w:rsidR="00C0270F" w:rsidTr="00AA7465">
        <w:tc>
          <w:tcPr>
            <w:tcW w:w="534" w:type="dxa"/>
          </w:tcPr>
          <w:p w:rsidR="00C0270F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Разом надходжень до 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ісцевого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бюджету (очікуваний обсяг</w:t>
            </w:r>
            <w:proofErr w:type="gramEnd"/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надходжень), в тому числі:</w:t>
            </w:r>
            <w:proofErr w:type="gramEnd"/>
          </w:p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AA7465" w:rsidRPr="00C0270F" w:rsidRDefault="00BF4BA0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20757,2 </w:t>
            </w:r>
            <w:r w:rsidR="00AA7465"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тис. грн.</w:t>
            </w:r>
          </w:p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0270F" w:rsidTr="00AA7465">
        <w:tc>
          <w:tcPr>
            <w:tcW w:w="534" w:type="dxa"/>
          </w:tcPr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Податок на нерухоме майно,</w:t>
            </w:r>
          </w:p>
          <w:p w:rsid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відмінне від земельної ділянки</w:t>
            </w:r>
          </w:p>
        </w:tc>
        <w:tc>
          <w:tcPr>
            <w:tcW w:w="5351" w:type="dxa"/>
          </w:tcPr>
          <w:p w:rsidR="00AA7465" w:rsidRPr="00C0270F" w:rsidRDefault="00BB71DF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2084,9</w:t>
            </w:r>
            <w:r w:rsidR="00AA7465"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тис. грн.</w:t>
            </w:r>
          </w:p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0270F" w:rsidTr="00AA7465">
        <w:tc>
          <w:tcPr>
            <w:tcW w:w="534" w:type="dxa"/>
          </w:tcPr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Плата за землю </w:t>
            </w:r>
          </w:p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C0270F" w:rsidRDefault="00BB71D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8479,5</w:t>
            </w:r>
            <w:r w:rsidR="00AA7465"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тис. грн.</w:t>
            </w:r>
          </w:p>
        </w:tc>
      </w:tr>
      <w:tr w:rsidR="00C0270F" w:rsidTr="00AA7465">
        <w:tc>
          <w:tcPr>
            <w:tcW w:w="534" w:type="dxa"/>
          </w:tcPr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C0270F" w:rsidRPr="00AA7465" w:rsidRDefault="00AA7465" w:rsidP="00AA746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Єдиний податок</w:t>
            </w:r>
          </w:p>
        </w:tc>
        <w:tc>
          <w:tcPr>
            <w:tcW w:w="5351" w:type="dxa"/>
          </w:tcPr>
          <w:p w:rsidR="00AA7465" w:rsidRPr="00AA7465" w:rsidRDefault="00BB71DF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11019,3</w:t>
            </w:r>
            <w:r w:rsidR="00AA7465"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тис. грн.</w:t>
            </w:r>
          </w:p>
          <w:p w:rsidR="00C0270F" w:rsidRDefault="00C0270F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69115B" w:rsidTr="00AA7465">
        <w:tc>
          <w:tcPr>
            <w:tcW w:w="534" w:type="dxa"/>
          </w:tcPr>
          <w:p w:rsidR="0069115B" w:rsidRDefault="0069115B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69115B" w:rsidRPr="0069115B" w:rsidRDefault="0069115B" w:rsidP="0069115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Туристичний збір</w:t>
            </w:r>
          </w:p>
        </w:tc>
        <w:tc>
          <w:tcPr>
            <w:tcW w:w="5351" w:type="dxa"/>
          </w:tcPr>
          <w:p w:rsidR="0069115B" w:rsidRDefault="00BB71DF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21,4 </w:t>
            </w:r>
            <w:r w:rsidR="006911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тис.грн.</w:t>
            </w:r>
          </w:p>
        </w:tc>
      </w:tr>
      <w:tr w:rsidR="00AA7465" w:rsidTr="00AA7465">
        <w:tc>
          <w:tcPr>
            <w:tcW w:w="534" w:type="dxa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 суб`єкті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 та/або фізичних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осіб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на яких поширюватиметься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 акта</w:t>
            </w:r>
          </w:p>
          <w:p w:rsidR="00AA7465" w:rsidRPr="00AA7465" w:rsidRDefault="00AA7465" w:rsidP="00AA746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AA7465" w:rsidRPr="00AA7465" w:rsidRDefault="00BB71DF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1038</w:t>
            </w:r>
          </w:p>
        </w:tc>
      </w:tr>
      <w:tr w:rsidR="00AA7465" w:rsidTr="00AA7465">
        <w:tc>
          <w:tcPr>
            <w:tcW w:w="534" w:type="dxa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Час, що витрачатиметься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суб’єктами господарювання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та/або фізичними особами,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пов’язаними з виконанням вимог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акта, години на 1 суб’єкта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AA7465" w:rsidRPr="00AA7465" w:rsidRDefault="00AA7465" w:rsidP="00AA746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 години</w:t>
            </w:r>
          </w:p>
        </w:tc>
      </w:tr>
      <w:tr w:rsidR="00AA7465" w:rsidTr="00AA7465">
        <w:tc>
          <w:tcPr>
            <w:tcW w:w="534" w:type="dxa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</w:tcPr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Розмі</w:t>
            </w: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коштів, що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витрачатимуться суб’єктами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господарювання та/або фізичних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осіб</w:t>
            </w:r>
            <w:proofErr w:type="gramEnd"/>
            <w:r w:rsidRPr="00C027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пов’язаними з виконаннями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вимог акту.</w:t>
            </w:r>
          </w:p>
          <w:p w:rsidR="00AA7465" w:rsidRPr="00AA7465" w:rsidRDefault="00AA7465" w:rsidP="00AA746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AA7465" w:rsidRPr="00C0270F" w:rsidRDefault="000D595A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11019,3 </w:t>
            </w:r>
            <w:r w:rsidR="00AA7465"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тис. грн</w:t>
            </w:r>
          </w:p>
        </w:tc>
      </w:tr>
      <w:tr w:rsidR="00AA7465" w:rsidTr="00AA7465">
        <w:tc>
          <w:tcPr>
            <w:tcW w:w="534" w:type="dxa"/>
          </w:tcPr>
          <w:p w:rsidR="00AA7465" w:rsidRDefault="00AA7465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</w:tcPr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івень поінформованості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суб`єктів господарювання та/або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фізичних </w:t>
            </w:r>
            <w:proofErr w:type="gramStart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осіб</w:t>
            </w:r>
            <w:proofErr w:type="gramEnd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основних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положень акта,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Оприлюднені повідомлення,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 </w:t>
            </w:r>
            <w:proofErr w:type="gramStart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ішення, АРВ: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на офіційному сайті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Новоселицької </w:t>
            </w: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ОТГ;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на стенді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Новоселицької міської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 газеті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Райо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Інфо</w:t>
            </w:r>
            <w:r w:rsidRPr="00AA7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A7465" w:rsidRPr="00C0270F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51" w:type="dxa"/>
          </w:tcPr>
          <w:p w:rsidR="00AA7465" w:rsidRPr="00AA7465" w:rsidRDefault="00AA7465" w:rsidP="00AA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Високий </w:t>
            </w:r>
          </w:p>
        </w:tc>
      </w:tr>
    </w:tbl>
    <w:p w:rsidR="00C0270F" w:rsidRPr="00C0270F" w:rsidRDefault="00C0270F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AA7465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387908" w:rsidRDefault="00150383" w:rsidP="00AA7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IX. Визначення заході</w:t>
      </w:r>
      <w:proofErr w:type="gramStart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за допомогою яких здійснюватиметься</w:t>
      </w:r>
    </w:p>
    <w:p w:rsidR="00150383" w:rsidRPr="00387908" w:rsidRDefault="00150383" w:rsidP="00AA7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відстеження результативності дії регуляторного акта</w:t>
      </w:r>
    </w:p>
    <w:p w:rsidR="00AA7465" w:rsidRDefault="00AA7465" w:rsidP="00AA7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AA7465" w:rsidRDefault="00AA7465" w:rsidP="00AA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Відстеження результативності регуляторного акта буде здійснюватися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вико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навчим комітетом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Новоселицької міської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ради</w:t>
      </w:r>
      <w:proofErr w:type="gramEnd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50383" w:rsidRP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 проведення відстеження результативності:</w:t>
      </w:r>
    </w:p>
    <w:p w:rsidR="00150383" w:rsidRP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Статистичний</w:t>
      </w:r>
    </w:p>
    <w:p w:rsidR="00150383" w:rsidRPr="00AA7465" w:rsidRDefault="00AA7465" w:rsidP="00AA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 даних, за допомогою яких здійснюватиметься відстеження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результативності:</w:t>
      </w:r>
    </w:p>
    <w:p w:rsidR="00150383" w:rsidRP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Статистичні</w:t>
      </w:r>
    </w:p>
    <w:p w:rsidR="00150383" w:rsidRP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- 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алітичні показники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Новоселицької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ОДПІ у Чернівецькій області;</w:t>
      </w:r>
    </w:p>
    <w:p w:rsidR="00150383" w:rsidRPr="00AA7465" w:rsidRDefault="00AA7465" w:rsidP="00AA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- інформація фінансо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вого відділу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апарату виконавчого комітету Новоселицької міської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ради</w:t>
      </w:r>
      <w:proofErr w:type="gramEnd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50383" w:rsidRPr="00AA7465" w:rsidRDefault="00AA7465" w:rsidP="00AA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Базове відстеження результативності регуляторного акта буде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здійснюватися до дня набрання чинності цим регуляторним актом.</w:t>
      </w:r>
    </w:p>
    <w:p w:rsidR="00150383" w:rsidRPr="00AA7465" w:rsidRDefault="00AA7465" w:rsidP="00D9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Повторне відстеження результативності буде здійснюватися за три місяці</w:t>
      </w:r>
      <w:r w:rsidR="00D97CE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до дня закінчення визначеного строку дії регуляторного акта.</w:t>
      </w:r>
    </w:p>
    <w:p w:rsid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A7465" w:rsidRDefault="00AA746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Pr="002060D4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060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 w:rsidR="002060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Pr="002060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 w:rsidR="000D595A" w:rsidRPr="002060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Марія НІКОРИЧ</w:t>
      </w:r>
    </w:p>
    <w:p w:rsidR="00D97CE7" w:rsidRDefault="002060D4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97CE7" w:rsidRDefault="00D97CE7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69115B" w:rsidRDefault="0069115B" w:rsidP="00D97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69115B" w:rsidRDefault="00D97CE7" w:rsidP="00D97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6911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6911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</w:p>
    <w:p w:rsidR="00150383" w:rsidRPr="00AA7465" w:rsidRDefault="00150383" w:rsidP="00D97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до аналізу регуляторного впливу</w:t>
      </w:r>
    </w:p>
    <w:p w:rsidR="00150383" w:rsidRPr="00D97CE7" w:rsidRDefault="00150383" w:rsidP="00D9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ТЕСТ</w:t>
      </w:r>
    </w:p>
    <w:p w:rsidR="00150383" w:rsidRDefault="00150383" w:rsidP="00D9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малого </w:t>
      </w:r>
      <w:proofErr w:type="gramStart"/>
      <w:r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ідприємництва (М-Тест)</w:t>
      </w:r>
    </w:p>
    <w:p w:rsidR="00D97CE7" w:rsidRPr="00D97CE7" w:rsidRDefault="00D97CE7" w:rsidP="00D97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D97CE7" w:rsidRDefault="00D97CE7" w:rsidP="00D9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CE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</w:t>
      </w:r>
      <w:r w:rsidR="00150383"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Консультації з представниками мікр</w:t>
      </w:r>
      <w:proofErr w:type="gramStart"/>
      <w:r w:rsidR="00150383"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 w:rsidR="00150383"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малого підприємництва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50383" w:rsidRPr="00D97C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оцінки впливу регулювання</w:t>
      </w:r>
    </w:p>
    <w:p w:rsidR="00150383" w:rsidRDefault="00D97CE7" w:rsidP="00D9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Консультації щодо визначення впливу запропонованого регулювання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суб’єктів малого </w:t>
      </w:r>
      <w:proofErr w:type="gramStart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 та визначення детального переліку процедур,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>виконання яких необхідно для здійснення регулювання, проведено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розробником у період з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лютого </w:t>
      </w:r>
      <w:r w:rsidR="002060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2060D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 по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березень </w:t>
      </w:r>
      <w:r w:rsidR="002060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2060D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</w:t>
      </w:r>
      <w:r w:rsidR="00150383" w:rsidRPr="00AA7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</w:p>
    <w:p w:rsidR="00D97CE7" w:rsidRPr="00D97CE7" w:rsidRDefault="00D97CE7" w:rsidP="00D9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4677"/>
        <w:gridCol w:w="1701"/>
        <w:gridCol w:w="2800"/>
      </w:tblGrid>
      <w:tr w:rsidR="00D97CE7" w:rsidTr="00B61515">
        <w:tc>
          <w:tcPr>
            <w:tcW w:w="1101" w:type="dxa"/>
          </w:tcPr>
          <w:p w:rsidR="00D97CE7" w:rsidRPr="00D97CE7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Порядкови</w:t>
            </w:r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й номер</w:t>
            </w: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D97CE7" w:rsidRPr="00D97CE7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консультації (публічні</w:t>
            </w:r>
            <w:proofErr w:type="gramEnd"/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консультації прямі (круглі столи,</w:t>
            </w:r>
            <w:proofErr w:type="gramEnd"/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наради, робочі зустрічі тощо),</w:t>
            </w:r>
            <w:proofErr w:type="gramEnd"/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інтернет-консультації прямі</w:t>
            </w:r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(інтернет-форуми, </w:t>
            </w: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</w:t>
            </w:r>
            <w:proofErr w:type="gramEnd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іальні</w:t>
            </w:r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мережі тощо), запити (</w:t>
            </w: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proofErr w:type="gramEnd"/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ідприємців, експертів,</w:t>
            </w:r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науковців</w:t>
            </w:r>
          </w:p>
          <w:p w:rsidR="00D97CE7" w:rsidRP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97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тощо)</w:t>
            </w:r>
            <w:proofErr w:type="gramEnd"/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</w:t>
            </w:r>
          </w:p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учасників</w:t>
            </w:r>
          </w:p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консультацій, </w:t>
            </w:r>
            <w:proofErr w:type="gramStart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осіб</w:t>
            </w:r>
            <w:proofErr w:type="gramEnd"/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Основні</w:t>
            </w:r>
          </w:p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результати</w:t>
            </w:r>
          </w:p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консультацій</w:t>
            </w:r>
          </w:p>
          <w:p w:rsidR="00D97CE7" w:rsidRPr="00387908" w:rsidRDefault="00D97CE7" w:rsidP="00D97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(опис)</w:t>
            </w: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4134E3" w:rsidRDefault="004134E3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4134E3" w:rsidRDefault="004134E3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4134E3" w:rsidRDefault="004134E3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4134E3" w:rsidRDefault="004134E3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4134E3" w:rsidRPr="004134E3" w:rsidRDefault="004134E3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97CE7" w:rsidTr="00B61515">
        <w:tc>
          <w:tcPr>
            <w:tcW w:w="1101" w:type="dxa"/>
          </w:tcPr>
          <w:p w:rsidR="00D97CE7" w:rsidRPr="00B61515" w:rsidRDefault="00B61515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Робочі наради та зустрічі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(опитування)</w:t>
            </w: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7CE7" w:rsidRPr="0069115B" w:rsidRDefault="0069115B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  <w:r w:rsidR="000D59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800" w:type="dxa"/>
          </w:tcPr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Обговорено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запропоновані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ставки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податків.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Отримано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інформацію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представників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</w:t>
            </w: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кро та</w:t>
            </w:r>
            <w:proofErr w:type="gramEnd"/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малого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щодо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необхідних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ресурсі</w:t>
            </w: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а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саме їх витрат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(витрат часу та</w:t>
            </w:r>
            <w:proofErr w:type="gramEnd"/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матеріальних)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запровадження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регулювання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97CE7" w:rsidTr="00B61515">
        <w:tc>
          <w:tcPr>
            <w:tcW w:w="1101" w:type="dxa"/>
          </w:tcPr>
          <w:p w:rsidR="00D97CE7" w:rsidRPr="00B61515" w:rsidRDefault="00B61515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Робоча зустріч з представниками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малого бізнесу</w:t>
            </w: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7CE7" w:rsidRPr="0069115B" w:rsidRDefault="000D595A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800" w:type="dxa"/>
          </w:tcPr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Обговорено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запропоновані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ставки податкі</w:t>
            </w: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Отримано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інформацію від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представників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</w:t>
            </w: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кро та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малого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 необхідних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ресурсі</w:t>
            </w: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а саме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їх витрат (витрат</w:t>
            </w:r>
            <w:proofErr w:type="gramEnd"/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часу та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матеріальних) на</w:t>
            </w:r>
          </w:p>
          <w:p w:rsidR="00B61515" w:rsidRPr="00B61515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запровадження</w:t>
            </w:r>
          </w:p>
          <w:p w:rsidR="00B61515" w:rsidRPr="00387908" w:rsidRDefault="00B61515" w:rsidP="00B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15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регулювання</w:t>
            </w:r>
          </w:p>
          <w:p w:rsidR="00D97CE7" w:rsidRDefault="00D97CE7" w:rsidP="00D97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97CE7" w:rsidRPr="00D97CE7" w:rsidRDefault="00D97CE7" w:rsidP="00D97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0383" w:rsidRPr="00B61515" w:rsidRDefault="00150383" w:rsidP="00B6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387908" w:rsidRDefault="00B61515" w:rsidP="00B6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Вимірювання впливу регулювання на суб’єктів</w:t>
      </w:r>
      <w:r w:rsidR="000E2F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середнього та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малого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0E2F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="000E2F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ідприємництва (</w:t>
      </w:r>
      <w:r w:rsidR="000E2F8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середні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 малі):</w:t>
      </w:r>
    </w:p>
    <w:p w:rsidR="00150383" w:rsidRPr="000E2F8C" w:rsidRDefault="00B61515" w:rsidP="00B6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6151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кількість суб’єктів малого </w:t>
      </w:r>
      <w:proofErr w:type="gramStart"/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ідприємництва, на яких поширюється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регулювання: </w:t>
      </w:r>
      <w:r w:rsidR="000D59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1038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одиниць), ), у тому числі 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середнього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підприємництва </w:t>
      </w:r>
      <w:r w:rsidR="000E2F8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</w:p>
    <w:p w:rsidR="00150383" w:rsidRPr="00B61515" w:rsidRDefault="000E2F8C" w:rsidP="00B6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(одиниць) та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малого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ідприємництва </w:t>
      </w:r>
      <w:r w:rsidR="000D59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1037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(одиниць)</w:t>
      </w:r>
    </w:p>
    <w:p w:rsidR="00150383" w:rsidRPr="00B61515" w:rsidRDefault="00B61515" w:rsidP="00B6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питома вага суб’єктів малого </w:t>
      </w:r>
      <w:proofErr w:type="gramStart"/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 у загальній кількості</w:t>
      </w:r>
    </w:p>
    <w:p w:rsidR="00150383" w:rsidRPr="00B61515" w:rsidRDefault="00150383" w:rsidP="00B6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1515">
        <w:rPr>
          <w:rFonts w:ascii="Times New Roman" w:hAnsi="Times New Roman" w:cs="Times New Roman"/>
          <w:bCs/>
          <w:color w:val="000000"/>
          <w:sz w:val="28"/>
          <w:szCs w:val="28"/>
        </w:rPr>
        <w:t>суб’єктів господарювання, на яких проблема справляє вплив 100,00 (відсотків)</w:t>
      </w:r>
    </w:p>
    <w:p w:rsidR="00013EFE" w:rsidRDefault="00B61515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</w:p>
    <w:p w:rsidR="00150383" w:rsidRDefault="00013EFE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Розрахунок витрат суб’єктів малого </w:t>
      </w:r>
      <w:proofErr w:type="gramStart"/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ідприємництва 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</w:t>
      </w:r>
      <w:r w:rsidR="00150383"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иконання вимог регулювання</w:t>
      </w:r>
    </w:p>
    <w:p w:rsidR="00013EFE" w:rsidRPr="00013EFE" w:rsidRDefault="00013EFE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981"/>
        <w:gridCol w:w="2771"/>
        <w:gridCol w:w="217"/>
        <w:gridCol w:w="1686"/>
        <w:gridCol w:w="130"/>
        <w:gridCol w:w="1807"/>
        <w:gridCol w:w="93"/>
        <w:gridCol w:w="1777"/>
      </w:tblGrid>
      <w:tr w:rsidR="00385463" w:rsidTr="00385463">
        <w:tc>
          <w:tcPr>
            <w:tcW w:w="1798" w:type="dxa"/>
            <w:gridSpan w:val="2"/>
          </w:tcPr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2771" w:type="dxa"/>
          </w:tcPr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Найменування оцінки</w:t>
            </w:r>
          </w:p>
        </w:tc>
        <w:tc>
          <w:tcPr>
            <w:tcW w:w="2033" w:type="dxa"/>
            <w:gridSpan w:val="3"/>
          </w:tcPr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У перший рік (стартовий рік провадження регулювання)</w:t>
            </w:r>
          </w:p>
        </w:tc>
        <w:tc>
          <w:tcPr>
            <w:tcW w:w="1900" w:type="dxa"/>
            <w:gridSpan w:val="2"/>
          </w:tcPr>
          <w:p w:rsidR="00385463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Періодичні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C75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( за </w:t>
            </w:r>
            <w:r w:rsidR="003854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наступний рік</w:t>
            </w:r>
          </w:p>
          <w:p w:rsidR="009C75D7" w:rsidRDefault="009C75D7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C75D7" w:rsidRDefault="009C75D7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C75D7" w:rsidRDefault="009C75D7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C75D7" w:rsidRDefault="009C75D7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C75D7" w:rsidRDefault="009C75D7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:rsidR="00013EFE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Витрати за п’ять років</w:t>
            </w:r>
          </w:p>
        </w:tc>
      </w:tr>
      <w:tr w:rsidR="00385463" w:rsidTr="00385463">
        <w:tc>
          <w:tcPr>
            <w:tcW w:w="10279" w:type="dxa"/>
            <w:gridSpan w:val="9"/>
          </w:tcPr>
          <w:p w:rsidR="00385463" w:rsidRPr="00387908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Оцінка "прямих" витрат суб'єктів малого </w:t>
            </w:r>
            <w:proofErr w:type="gramStart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ідприємництва на виконання</w:t>
            </w:r>
          </w:p>
          <w:p w:rsidR="00385463" w:rsidRPr="00387908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9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регулювання</w:t>
            </w:r>
          </w:p>
          <w:p w:rsid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Придбання необхідного обладнання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(пристрої</w:t>
            </w:r>
            <w:proofErr w:type="gramStart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машин, механізмів)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Процедури повірки та/або постановки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відповідний </w:t>
            </w:r>
            <w:proofErr w:type="gramStart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</w:t>
            </w:r>
            <w:proofErr w:type="gramEnd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ік у визначеному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органі державної влади чи </w:t>
            </w: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місцевого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самоврядування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1900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969" w:type="dxa"/>
            <w:gridSpan w:val="3"/>
          </w:tcPr>
          <w:p w:rsidR="00385463" w:rsidRPr="00242AB5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Процедури експлуатації обладнання</w:t>
            </w:r>
          </w:p>
          <w:p w:rsidR="00385463" w:rsidRPr="00242AB5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(експлуатаційні витрати - витратні</w:t>
            </w:r>
          </w:p>
          <w:p w:rsidR="00385463" w:rsidRPr="00242AB5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42A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матеріали)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Процедури обслуговування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обладнання (технічне обслуговування)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 процедури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(сплата податків та зборів, визначених</w:t>
            </w:r>
            <w:proofErr w:type="gramEnd"/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ішеннями міської ради на 2020 рік),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гривень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Pr="00385463" w:rsidRDefault="000D595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  <w:r w:rsidR="00BF4B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0757,2</w:t>
            </w:r>
          </w:p>
        </w:tc>
        <w:tc>
          <w:tcPr>
            <w:tcW w:w="1900" w:type="dxa"/>
            <w:gridSpan w:val="2"/>
          </w:tcPr>
          <w:p w:rsidR="00013EFE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777" w:type="dxa"/>
          </w:tcPr>
          <w:p w:rsidR="00013EFE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85463" w:rsidTr="00F60D6A">
        <w:tc>
          <w:tcPr>
            <w:tcW w:w="81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Разом, гривень Формула: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(сума рядків 1 + 2 + 3 + 4 + 5)</w:t>
            </w:r>
          </w:p>
          <w:p w:rsidR="00013EFE" w:rsidRDefault="00013EFE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013EFE" w:rsidRPr="00385463" w:rsidRDefault="00D02BD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20757,2</w:t>
            </w:r>
          </w:p>
        </w:tc>
        <w:tc>
          <w:tcPr>
            <w:tcW w:w="1900" w:type="dxa"/>
            <w:gridSpan w:val="2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013EFE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385463" w:rsidTr="00F60D6A">
        <w:tc>
          <w:tcPr>
            <w:tcW w:w="817" w:type="dxa"/>
          </w:tcPr>
          <w:p w:rsidR="00385463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 суб'єктів господарювання,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 повинні виконати вимоги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регулювання, одиниць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93" w:type="dxa"/>
            <w:gridSpan w:val="5"/>
          </w:tcPr>
          <w:p w:rsidR="00385463" w:rsidRPr="00385463" w:rsidRDefault="002060D4" w:rsidP="00385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1038 </w:t>
            </w:r>
          </w:p>
        </w:tc>
      </w:tr>
      <w:tr w:rsidR="00385463" w:rsidTr="00F60D6A">
        <w:tc>
          <w:tcPr>
            <w:tcW w:w="817" w:type="dxa"/>
          </w:tcPr>
          <w:p w:rsidR="00385463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  <w:gridSpan w:val="3"/>
          </w:tcPr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Сумарно, гривень Формула: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відповідний стовпчик "разом" 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кількість суб' єктів малого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ідприємництва, що повинні виконати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вимоги регулювання (рядок 6 Х рядок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7)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385463" w:rsidRPr="00385463" w:rsidRDefault="00D02BD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20757,2</w:t>
            </w:r>
          </w:p>
        </w:tc>
        <w:tc>
          <w:tcPr>
            <w:tcW w:w="1900" w:type="dxa"/>
            <w:gridSpan w:val="2"/>
          </w:tcPr>
          <w:p w:rsidR="00385463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385463" w:rsidRP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60D6A" w:rsidTr="00242AB5">
        <w:tc>
          <w:tcPr>
            <w:tcW w:w="10279" w:type="dxa"/>
            <w:gridSpan w:val="9"/>
          </w:tcPr>
          <w:p w:rsidR="00F60D6A" w:rsidRPr="00F60D6A" w:rsidRDefault="00F60D6A" w:rsidP="00F6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Оцінка вартості адміністративних процедур суб’єктів малого</w:t>
            </w:r>
          </w:p>
          <w:p w:rsidR="00F60D6A" w:rsidRPr="00F60D6A" w:rsidRDefault="00F60D6A" w:rsidP="00F6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60D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60D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ідприємництва щодо виконання регулювання та звітування</w:t>
            </w:r>
          </w:p>
          <w:p w:rsidR="00827BA6" w:rsidRDefault="00827BA6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F60D6A" w:rsidRDefault="00827BA6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Розрахунок вартості 1 людино-години:</w:t>
            </w:r>
          </w:p>
          <w:p w:rsidR="00827BA6" w:rsidRPr="00827BA6" w:rsidRDefault="00827BA6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Для розрахунку </w:t>
            </w:r>
            <w:r w:rsidR="006775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використовується мінім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альна заробітна плата, що у 2020 році становить 4723</w:t>
            </w:r>
            <w:r w:rsidR="00271C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грн. та у п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огодинному розмірі розмірі 28,31 </w:t>
            </w:r>
            <w:r w:rsidR="00271C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грн. (Закон України «Про 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державний бюджет України на 2020</w:t>
            </w:r>
            <w:r w:rsidR="00271C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рік»)</w:t>
            </w:r>
          </w:p>
        </w:tc>
      </w:tr>
      <w:tr w:rsidR="00385463" w:rsidTr="00385463">
        <w:tc>
          <w:tcPr>
            <w:tcW w:w="817" w:type="dxa"/>
          </w:tcPr>
          <w:p w:rsidR="00385463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752" w:type="dxa"/>
            <w:gridSpan w:val="2"/>
          </w:tcPr>
          <w:p w:rsidR="00F60D6A" w:rsidRPr="00385463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Процедури отримання первинної</w:t>
            </w:r>
          </w:p>
          <w:p w:rsidR="00F60D6A" w:rsidRPr="00385463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5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інформації про вимоги регулювання</w:t>
            </w:r>
          </w:p>
          <w:p w:rsidR="00385463" w:rsidRPr="00385463" w:rsidRDefault="00385463" w:rsidP="00385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gridSpan w:val="3"/>
          </w:tcPr>
          <w:p w:rsidR="00F60D6A" w:rsidRPr="00271C32" w:rsidRDefault="00271C32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1.5 год*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42,5</w:t>
            </w:r>
          </w:p>
          <w:p w:rsidR="00F60D6A" w:rsidRPr="00F60D6A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грн= сума </w:t>
            </w:r>
          </w:p>
          <w:p w:rsidR="00385463" w:rsidRDefault="00385463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gridSpan w:val="2"/>
          </w:tcPr>
          <w:p w:rsidR="00385463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385463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60D6A" w:rsidTr="00385463">
        <w:tc>
          <w:tcPr>
            <w:tcW w:w="817" w:type="dxa"/>
          </w:tcPr>
          <w:p w:rsidR="00F60D6A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752" w:type="dxa"/>
            <w:gridSpan w:val="2"/>
          </w:tcPr>
          <w:p w:rsidR="00F60D6A" w:rsidRPr="00F60D6A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Процедури організації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виконання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вимог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регулювання: Внесення змін до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внутрішніх процедур обліку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звітності</w:t>
            </w:r>
          </w:p>
          <w:p w:rsidR="00F60D6A" w:rsidRPr="00F60D6A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33" w:type="dxa"/>
            <w:gridSpan w:val="3"/>
          </w:tcPr>
          <w:p w:rsidR="00F60D6A" w:rsidRPr="00271C32" w:rsidRDefault="00271C32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0,5 год*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14,1</w:t>
            </w:r>
          </w:p>
          <w:p w:rsidR="00F60D6A" w:rsidRDefault="00F60D6A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грн= сума</w:t>
            </w:r>
          </w:p>
        </w:tc>
        <w:tc>
          <w:tcPr>
            <w:tcW w:w="1900" w:type="dxa"/>
            <w:gridSpan w:val="2"/>
          </w:tcPr>
          <w:p w:rsidR="00F60D6A" w:rsidRPr="00F60D6A" w:rsidRDefault="00F60D6A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1777" w:type="dxa"/>
          </w:tcPr>
          <w:p w:rsidR="00F60D6A" w:rsidRPr="00F60D6A" w:rsidRDefault="00F60D6A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60D6A" w:rsidTr="00385463">
        <w:tc>
          <w:tcPr>
            <w:tcW w:w="817" w:type="dxa"/>
          </w:tcPr>
          <w:p w:rsidR="00F60D6A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752" w:type="dxa"/>
            <w:gridSpan w:val="2"/>
          </w:tcPr>
          <w:p w:rsidR="00F60D6A" w:rsidRPr="00F60D6A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Процедури офіційного звітування </w:t>
            </w:r>
          </w:p>
        </w:tc>
        <w:tc>
          <w:tcPr>
            <w:tcW w:w="2033" w:type="dxa"/>
            <w:gridSpan w:val="3"/>
          </w:tcPr>
          <w:p w:rsidR="00F60D6A" w:rsidRPr="00F60D6A" w:rsidRDefault="00F60D6A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  <w:gridSpan w:val="2"/>
          </w:tcPr>
          <w:p w:rsidR="00F60D6A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F60D6A" w:rsidRPr="00F60D6A" w:rsidRDefault="00F60D6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60D6A" w:rsidTr="00385463">
        <w:tc>
          <w:tcPr>
            <w:tcW w:w="81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752" w:type="dxa"/>
            <w:gridSpan w:val="2"/>
          </w:tcPr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Процедури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</w:p>
          <w:p w:rsidR="00F60D6A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процесу </w:t>
            </w:r>
            <w:proofErr w:type="gramStart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перев</w:t>
            </w:r>
            <w:proofErr w:type="gramEnd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ірок</w:t>
            </w:r>
          </w:p>
        </w:tc>
        <w:tc>
          <w:tcPr>
            <w:tcW w:w="2033" w:type="dxa"/>
            <w:gridSpan w:val="3"/>
          </w:tcPr>
          <w:p w:rsidR="00F60D6A" w:rsidRPr="00F60D6A" w:rsidRDefault="00B56331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00" w:type="dxa"/>
            <w:gridSpan w:val="2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60D6A" w:rsidTr="00385463">
        <w:tc>
          <w:tcPr>
            <w:tcW w:w="81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752" w:type="dxa"/>
            <w:gridSpan w:val="2"/>
          </w:tcPr>
          <w:p w:rsidR="00F60D6A" w:rsidRPr="00F60D6A" w:rsidRDefault="00B56331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 процедури</w:t>
            </w:r>
          </w:p>
        </w:tc>
        <w:tc>
          <w:tcPr>
            <w:tcW w:w="2033" w:type="dxa"/>
            <w:gridSpan w:val="3"/>
          </w:tcPr>
          <w:p w:rsidR="00F60D6A" w:rsidRPr="00F60D6A" w:rsidRDefault="00B56331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900" w:type="dxa"/>
            <w:gridSpan w:val="2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77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60D6A" w:rsidTr="00385463">
        <w:tc>
          <w:tcPr>
            <w:tcW w:w="81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752" w:type="dxa"/>
            <w:gridSpan w:val="2"/>
          </w:tcPr>
          <w:p w:rsidR="00F60D6A" w:rsidRPr="00F60D6A" w:rsidRDefault="00B56331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Разом, гривень</w:t>
            </w:r>
          </w:p>
        </w:tc>
        <w:tc>
          <w:tcPr>
            <w:tcW w:w="2033" w:type="dxa"/>
            <w:gridSpan w:val="3"/>
          </w:tcPr>
          <w:p w:rsidR="00F60D6A" w:rsidRPr="00F60D6A" w:rsidRDefault="00271C32" w:rsidP="00F60D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  <w:r w:rsidR="00D02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6,6</w:t>
            </w:r>
          </w:p>
        </w:tc>
        <w:tc>
          <w:tcPr>
            <w:tcW w:w="1900" w:type="dxa"/>
            <w:gridSpan w:val="2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777" w:type="dxa"/>
          </w:tcPr>
          <w:p w:rsidR="00F60D6A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56331" w:rsidTr="00242AB5">
        <w:tc>
          <w:tcPr>
            <w:tcW w:w="817" w:type="dxa"/>
          </w:tcPr>
          <w:p w:rsidR="00B56331" w:rsidRPr="00F60D6A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752" w:type="dxa"/>
            <w:gridSpan w:val="2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Кількість суб’єктів малого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підприємництва, що повинні виконати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вимоги регулювання, одиниць</w:t>
            </w:r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10" w:type="dxa"/>
            <w:gridSpan w:val="6"/>
          </w:tcPr>
          <w:p w:rsidR="00B56331" w:rsidRPr="00F60D6A" w:rsidRDefault="00D02BD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1038</w:t>
            </w:r>
          </w:p>
        </w:tc>
      </w:tr>
      <w:tr w:rsidR="00B56331" w:rsidTr="00B56331">
        <w:tc>
          <w:tcPr>
            <w:tcW w:w="817" w:type="dxa"/>
          </w:tcPr>
          <w:p w:rsidR="00B56331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752" w:type="dxa"/>
            <w:gridSpan w:val="2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Сумарно, гривень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B56331" w:rsidRDefault="00D02BDA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58750,8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331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:rsidR="00B56331" w:rsidRDefault="00B56331" w:rsidP="00150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013EFE" w:rsidRDefault="00013EFE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F60D6A" w:rsidRDefault="00150383" w:rsidP="00F60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B56331" w:rsidRDefault="00150383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B56331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БЮДЖЕТНІ ВИТРАТИ</w:t>
      </w:r>
    </w:p>
    <w:p w:rsidR="00150383" w:rsidRPr="00B56331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адміністрування регулювання для суб’єктів малого і</w:t>
      </w:r>
    </w:p>
    <w:p w:rsidR="00150383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gramStart"/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End"/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ікропідприємництва</w:t>
      </w:r>
    </w:p>
    <w:p w:rsidR="00B56331" w:rsidRPr="00B56331" w:rsidRDefault="00B56331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50383" w:rsidRPr="00F60D6A" w:rsidRDefault="00B56331" w:rsidP="00B5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</w:t>
      </w:r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Бюджетні витрати на адміністрування регулювання суб’єктів малого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ідприємництва не підлягають розрахунку, оскільки встановлені нормами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Податкового кодексу України. Органи місцевого самоврядування </w:t>
      </w:r>
      <w:proofErr w:type="gramStart"/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над</w:t>
      </w:r>
      <w:proofErr w:type="gramEnd"/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ілені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повноваженнями лише встановлювати ставки місцевих податків (зборів), не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F60D6A">
        <w:rPr>
          <w:rFonts w:ascii="Times New Roman" w:hAnsi="Times New Roman" w:cs="Times New Roman"/>
          <w:bCs/>
          <w:color w:val="000000"/>
          <w:sz w:val="28"/>
          <w:szCs w:val="28"/>
        </w:rPr>
        <w:t>змінюючи порядок їх обчислення, сплати та інші адміністративні процедури.</w:t>
      </w:r>
    </w:p>
    <w:p w:rsidR="00B56331" w:rsidRDefault="00B56331" w:rsidP="00B56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B56331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Розрахунок сумарних витрат суб’єктів малого </w:t>
      </w:r>
      <w:proofErr w:type="gramStart"/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ідприємництва, що</w:t>
      </w:r>
    </w:p>
    <w:p w:rsidR="00150383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563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виникають на виконання вимог регулювання</w:t>
      </w:r>
    </w:p>
    <w:p w:rsidR="00B56331" w:rsidRDefault="00B56331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4464"/>
        <w:gridCol w:w="2570"/>
        <w:gridCol w:w="2570"/>
      </w:tblGrid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4464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Показник </w:t>
            </w:r>
          </w:p>
        </w:tc>
        <w:tc>
          <w:tcPr>
            <w:tcW w:w="2570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Перший </w:t>
            </w:r>
            <w:proofErr w:type="gramStart"/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ік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регулювання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(стартовий),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гривень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 </w:t>
            </w:r>
            <w:proofErr w:type="gramStart"/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п’ять</w:t>
            </w:r>
            <w:proofErr w:type="gramEnd"/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років,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гривень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464" w:type="dxa"/>
          </w:tcPr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Оцінка “прямих” витрат суб’єкті</w:t>
            </w:r>
            <w:proofErr w:type="gramStart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малого </w:t>
            </w:r>
            <w:proofErr w:type="gramStart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 на</w:t>
            </w:r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виконання регулювання</w:t>
            </w:r>
          </w:p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Default="00D02BDA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20757200,0</w:t>
            </w:r>
          </w:p>
        </w:tc>
        <w:tc>
          <w:tcPr>
            <w:tcW w:w="2570" w:type="dxa"/>
          </w:tcPr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464" w:type="dxa"/>
          </w:tcPr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Оцінка вартості адміністративних</w:t>
            </w:r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процедур для суб’єктів малого</w:t>
            </w:r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 щодо виконання</w:t>
            </w:r>
          </w:p>
          <w:p w:rsidR="00B56331" w:rsidRPr="00F60D6A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60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регулювання та звітування</w:t>
            </w:r>
          </w:p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Default="00D02BDA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60219,57</w:t>
            </w:r>
          </w:p>
        </w:tc>
        <w:tc>
          <w:tcPr>
            <w:tcW w:w="2570" w:type="dxa"/>
          </w:tcPr>
          <w:p w:rsidR="00B56331" w:rsidRDefault="00B56331" w:rsidP="00242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464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Сумарні витрати малого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 на виконання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запланованого регулювання</w:t>
            </w:r>
          </w:p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Default="00D02BDA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20757200,0</w:t>
            </w:r>
          </w:p>
        </w:tc>
        <w:tc>
          <w:tcPr>
            <w:tcW w:w="2570" w:type="dxa"/>
          </w:tcPr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464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Бюджетні витрати на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адміністрування регулювання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суб’єктів малого </w:t>
            </w:r>
            <w:proofErr w:type="gramStart"/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ідприємництва</w:t>
            </w:r>
          </w:p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2570" w:type="dxa"/>
          </w:tcPr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B56331" w:rsidTr="00B56331">
        <w:tc>
          <w:tcPr>
            <w:tcW w:w="675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56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464" w:type="dxa"/>
          </w:tcPr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Сумарні витрати на виконання</w:t>
            </w:r>
          </w:p>
          <w:p w:rsidR="00B56331" w:rsidRP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3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запланованого регулювання</w:t>
            </w:r>
          </w:p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:rsidR="00B56331" w:rsidRDefault="00D02BDA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20757200,0</w:t>
            </w:r>
          </w:p>
        </w:tc>
        <w:tc>
          <w:tcPr>
            <w:tcW w:w="2570" w:type="dxa"/>
          </w:tcPr>
          <w:p w:rsidR="00B56331" w:rsidRDefault="00B56331" w:rsidP="00B56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B56331" w:rsidRDefault="00B56331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50383" w:rsidRPr="00387908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Розроблення корегуючих (пом’якшувальних) заході</w:t>
      </w:r>
      <w:proofErr w:type="gramStart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малого</w:t>
      </w:r>
    </w:p>
    <w:p w:rsidR="00150383" w:rsidRPr="00387908" w:rsidRDefault="00150383" w:rsidP="00B5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38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ідприємництва щодо запропонованого регулювання</w:t>
      </w:r>
    </w:p>
    <w:p w:rsidR="00B56331" w:rsidRDefault="00B56331" w:rsidP="00150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CD72B7" w:rsidRDefault="00B56331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</w:t>
      </w:r>
      <w:r w:rsidR="00150383" w:rsidRPr="00B5633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основі аналізу статистичних даних </w:t>
      </w:r>
      <w:r w:rsidRPr="00B5633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що наданні фінансов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им відділом та відділом </w:t>
      </w:r>
      <w:r w:rsidRPr="00B56331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розвитку, інвестицій та закупівель</w:t>
      </w:r>
      <w:r w:rsid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апарату виконавчого комітету Новоселицької міської ради </w:t>
      </w:r>
      <w:r w:rsidR="00150383" w:rsidRP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під час консультацій,</w:t>
      </w:r>
      <w:r w:rsid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проведених із суб’єктами підприємництва, визначено, що зазначені ставки</w:t>
      </w:r>
      <w:r w:rsid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податків є прийнятними для суб’єктів малого підприємництва і впровадження</w:t>
      </w:r>
      <w:r w:rsid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50383" w:rsidRP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компенсаторних (</w:t>
      </w:r>
      <w:r w:rsidR="00502C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пом’якшувальних ) процедур не потрібно.</w:t>
      </w: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1A04D3" w:rsidRPr="00D02BDA" w:rsidRDefault="001A04D3" w:rsidP="0050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0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D02BDA" w:rsidRPr="00D0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Марія НІКОРИЧ</w:t>
      </w:r>
    </w:p>
    <w:sectPr w:rsidR="001A04D3" w:rsidRPr="00D02BDA" w:rsidSect="0069115B">
      <w:pgSz w:w="11906" w:h="16838"/>
      <w:pgMar w:top="28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F2B36"/>
    <w:multiLevelType w:val="hybridMultilevel"/>
    <w:tmpl w:val="81005BCA"/>
    <w:lvl w:ilvl="0" w:tplc="B472313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proofState w:grammar="clean"/>
  <w:defaultTabStop w:val="708"/>
  <w:characterSpacingControl w:val="doNotCompress"/>
  <w:compat>
    <w:useFELayout/>
  </w:compat>
  <w:rsids>
    <w:rsidRoot w:val="00150383"/>
    <w:rsid w:val="00013EFE"/>
    <w:rsid w:val="00043BE1"/>
    <w:rsid w:val="00092F3C"/>
    <w:rsid w:val="000D595A"/>
    <w:rsid w:val="000E2F8C"/>
    <w:rsid w:val="001133BB"/>
    <w:rsid w:val="001213F7"/>
    <w:rsid w:val="00150383"/>
    <w:rsid w:val="00180F43"/>
    <w:rsid w:val="001A04D3"/>
    <w:rsid w:val="001C0077"/>
    <w:rsid w:val="001D4984"/>
    <w:rsid w:val="002060D4"/>
    <w:rsid w:val="002348C5"/>
    <w:rsid w:val="00234EF6"/>
    <w:rsid w:val="00242AB5"/>
    <w:rsid w:val="00271C32"/>
    <w:rsid w:val="002A1B88"/>
    <w:rsid w:val="002A4AC9"/>
    <w:rsid w:val="002D281B"/>
    <w:rsid w:val="00353E4C"/>
    <w:rsid w:val="00385463"/>
    <w:rsid w:val="00387908"/>
    <w:rsid w:val="003B7975"/>
    <w:rsid w:val="004134E3"/>
    <w:rsid w:val="00432AB6"/>
    <w:rsid w:val="004B4F93"/>
    <w:rsid w:val="00502CA4"/>
    <w:rsid w:val="00502CE2"/>
    <w:rsid w:val="0051584B"/>
    <w:rsid w:val="005715E0"/>
    <w:rsid w:val="005D17A6"/>
    <w:rsid w:val="00677519"/>
    <w:rsid w:val="0069115B"/>
    <w:rsid w:val="006D0C57"/>
    <w:rsid w:val="006E24A0"/>
    <w:rsid w:val="007951A2"/>
    <w:rsid w:val="00827BA6"/>
    <w:rsid w:val="00845675"/>
    <w:rsid w:val="00894287"/>
    <w:rsid w:val="00915236"/>
    <w:rsid w:val="00931096"/>
    <w:rsid w:val="009C29D2"/>
    <w:rsid w:val="009C75D7"/>
    <w:rsid w:val="00A303D7"/>
    <w:rsid w:val="00A8010F"/>
    <w:rsid w:val="00A8531A"/>
    <w:rsid w:val="00A9037C"/>
    <w:rsid w:val="00AA7465"/>
    <w:rsid w:val="00B27DE0"/>
    <w:rsid w:val="00B30612"/>
    <w:rsid w:val="00B5230A"/>
    <w:rsid w:val="00B5363B"/>
    <w:rsid w:val="00B56331"/>
    <w:rsid w:val="00B61515"/>
    <w:rsid w:val="00B96990"/>
    <w:rsid w:val="00BB71DF"/>
    <w:rsid w:val="00BF1070"/>
    <w:rsid w:val="00BF4BA0"/>
    <w:rsid w:val="00C0270F"/>
    <w:rsid w:val="00C10D39"/>
    <w:rsid w:val="00C96A3B"/>
    <w:rsid w:val="00CC374A"/>
    <w:rsid w:val="00CD72B7"/>
    <w:rsid w:val="00D02BDA"/>
    <w:rsid w:val="00D97CE7"/>
    <w:rsid w:val="00DA3763"/>
    <w:rsid w:val="00DB25C2"/>
    <w:rsid w:val="00E86193"/>
    <w:rsid w:val="00F235E5"/>
    <w:rsid w:val="00F25AF2"/>
    <w:rsid w:val="00F6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78CF-BB62-4D5F-8105-4B237E17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19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2019-03-20T06:35:00Z</dcterms:created>
  <dcterms:modified xsi:type="dcterms:W3CDTF">2020-03-13T07:55:00Z</dcterms:modified>
</cp:coreProperties>
</file>